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47796" w14:textId="6C5C627C" w:rsidR="00F54A6E" w:rsidRPr="004F70AD" w:rsidRDefault="00191C50" w:rsidP="00F54A6E">
      <w:pPr>
        <w:tabs>
          <w:tab w:val="right" w:pos="9639"/>
        </w:tabs>
        <w:spacing w:after="0"/>
        <w:rPr>
          <w:rFonts w:ascii="Arial" w:hAnsi="Arial"/>
          <w:b/>
          <w:i/>
          <w:noProof/>
          <w:sz w:val="28"/>
          <w:lang w:eastAsia="ko-KR"/>
        </w:rPr>
      </w:pPr>
      <w:r>
        <w:rPr>
          <w:rFonts w:ascii="Arial" w:hAnsi="Arial"/>
          <w:b/>
          <w:noProof/>
          <w:sz w:val="24"/>
        </w:rPr>
        <w:t>3GPP TSG-RAN WG2 Meeting #120</w:t>
      </w:r>
      <w:r w:rsidR="00F54A6E" w:rsidRPr="004F70AD">
        <w:rPr>
          <w:rFonts w:ascii="Arial" w:hAnsi="Arial"/>
          <w:b/>
          <w:i/>
          <w:noProof/>
          <w:sz w:val="28"/>
        </w:rPr>
        <w:tab/>
      </w:r>
      <w:r w:rsidR="00950935" w:rsidRPr="00950935">
        <w:rPr>
          <w:rFonts w:ascii="Arial" w:hAnsi="Arial"/>
          <w:b/>
          <w:i/>
          <w:noProof/>
          <w:sz w:val="28"/>
          <w:lang w:eastAsia="ko-KR"/>
        </w:rPr>
        <w:t>R2-2211769</w:t>
      </w:r>
      <w:bookmarkStart w:id="0" w:name="_GoBack"/>
      <w:bookmarkEnd w:id="0"/>
    </w:p>
    <w:p w14:paraId="243BA821" w14:textId="248EA828" w:rsidR="00A62464" w:rsidRPr="003F16D2" w:rsidRDefault="00191C50" w:rsidP="00A62464">
      <w:pPr>
        <w:widowControl w:val="0"/>
        <w:tabs>
          <w:tab w:val="left" w:pos="1701"/>
          <w:tab w:val="right" w:pos="9923"/>
        </w:tabs>
        <w:spacing w:before="120" w:after="0"/>
        <w:rPr>
          <w:rFonts w:ascii="Arial" w:hAnsi="Arial"/>
          <w:b/>
          <w:i/>
          <w:noProof/>
          <w:sz w:val="28"/>
          <w:lang w:eastAsia="ko-KR"/>
        </w:rPr>
      </w:pPr>
      <w:r>
        <w:rPr>
          <w:rFonts w:ascii="Arial" w:hAnsi="Arial"/>
          <w:b/>
          <w:noProof/>
          <w:sz w:val="24"/>
        </w:rPr>
        <w:t>Toulouse, France</w:t>
      </w:r>
      <w:r w:rsidR="00A62464" w:rsidRPr="002C2514">
        <w:rPr>
          <w:rFonts w:ascii="Arial" w:hAnsi="Arial"/>
          <w:b/>
          <w:noProof/>
          <w:sz w:val="24"/>
        </w:rPr>
        <w:t xml:space="preserve">, </w:t>
      </w:r>
      <w:r>
        <w:rPr>
          <w:rFonts w:ascii="Arial" w:hAnsi="Arial"/>
          <w:b/>
          <w:noProof/>
          <w:sz w:val="24"/>
        </w:rPr>
        <w:t>November</w:t>
      </w:r>
      <w:r w:rsidR="0049709F">
        <w:rPr>
          <w:rFonts w:ascii="Arial" w:hAnsi="Arial"/>
          <w:b/>
          <w:noProof/>
          <w:sz w:val="24"/>
        </w:rPr>
        <w:t xml:space="preserve"> 1</w:t>
      </w:r>
      <w:r>
        <w:rPr>
          <w:rFonts w:ascii="Arial" w:hAnsi="Arial"/>
          <w:b/>
          <w:noProof/>
          <w:sz w:val="24"/>
        </w:rPr>
        <w:t>4</w:t>
      </w:r>
      <w:r w:rsidR="00A62464" w:rsidRPr="002C2514">
        <w:rPr>
          <w:rFonts w:ascii="Arial" w:hAnsi="Arial"/>
          <w:b/>
          <w:noProof/>
          <w:sz w:val="24"/>
        </w:rPr>
        <w:t xml:space="preserve"> – </w:t>
      </w:r>
      <w:r>
        <w:rPr>
          <w:rFonts w:ascii="Arial" w:hAnsi="Arial"/>
          <w:b/>
          <w:noProof/>
          <w:sz w:val="24"/>
        </w:rPr>
        <w:t>November</w:t>
      </w:r>
      <w:r w:rsidR="00A62464" w:rsidRPr="002C2514">
        <w:rPr>
          <w:rFonts w:ascii="Arial" w:hAnsi="Arial"/>
          <w:b/>
          <w:noProof/>
          <w:sz w:val="24"/>
        </w:rPr>
        <w:t xml:space="preserve"> </w:t>
      </w:r>
      <w:r w:rsidR="0049709F">
        <w:rPr>
          <w:rFonts w:ascii="Arial" w:hAnsi="Arial"/>
          <w:b/>
          <w:noProof/>
          <w:sz w:val="24"/>
        </w:rPr>
        <w:t>1</w:t>
      </w:r>
      <w:r>
        <w:rPr>
          <w:rFonts w:ascii="Arial" w:hAnsi="Arial"/>
          <w:b/>
          <w:noProof/>
          <w:sz w:val="24"/>
        </w:rPr>
        <w:t>8</w:t>
      </w:r>
      <w:r w:rsidR="00A62464" w:rsidRPr="002C2514">
        <w:rPr>
          <w:rFonts w:ascii="Arial" w:hAnsi="Arial"/>
          <w:b/>
          <w:noProof/>
          <w:sz w:val="24"/>
        </w:rPr>
        <w:t>, 202</w:t>
      </w:r>
      <w:r w:rsidR="00B37B2D">
        <w:rPr>
          <w:rFonts w:ascii="Arial" w:hAnsi="Arial"/>
          <w:b/>
          <w:noProof/>
          <w:sz w:val="24"/>
        </w:rPr>
        <w:t>2</w:t>
      </w:r>
      <w:r w:rsidR="00A62464" w:rsidRPr="00815EC9">
        <w:rPr>
          <w:rFonts w:ascii="Arial" w:eastAsia="MS Mincho" w:hAnsi="Arial"/>
          <w:b/>
          <w:sz w:val="24"/>
          <w:szCs w:val="24"/>
          <w:lang w:eastAsia="x-none"/>
        </w:rPr>
        <w:t xml:space="preserve"> </w:t>
      </w:r>
      <w:r w:rsidR="00A62464">
        <w:rPr>
          <w:rFonts w:ascii="Arial" w:eastAsia="MS Mincho" w:hAnsi="Arial"/>
          <w:b/>
          <w:sz w:val="24"/>
          <w:szCs w:val="24"/>
          <w:lang w:eastAsia="x-none"/>
        </w:rPr>
        <w:tab/>
      </w:r>
    </w:p>
    <w:p w14:paraId="1DF9E308" w14:textId="77777777" w:rsidR="00D4259F" w:rsidRDefault="00D4259F">
      <w:pPr>
        <w:pStyle w:val="CRCoverPage"/>
        <w:tabs>
          <w:tab w:val="right" w:pos="9639"/>
        </w:tabs>
        <w:spacing w:after="0"/>
        <w:rPr>
          <w:rFonts w:eastAsia="맑은 고딕"/>
          <w:b/>
          <w:noProof/>
          <w:sz w:val="24"/>
          <w:lang w:eastAsia="ko-KR"/>
        </w:rPr>
      </w:pPr>
    </w:p>
    <w:p w14:paraId="168775D0" w14:textId="5F0C0CA1" w:rsidR="00D4259F" w:rsidRPr="00D05067"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0A6528">
        <w:rPr>
          <w:rFonts w:ascii="Arial" w:hAnsi="Arial" w:cs="Arial"/>
          <w:b/>
          <w:noProof/>
          <w:sz w:val="28"/>
          <w:szCs w:val="28"/>
          <w:lang w:val="en-US"/>
        </w:rPr>
        <w:t>8.7.4</w:t>
      </w:r>
      <w:r w:rsidR="00191C50">
        <w:rPr>
          <w:rFonts w:ascii="Arial" w:hAnsi="Arial" w:cs="Arial"/>
          <w:b/>
          <w:noProof/>
          <w:sz w:val="28"/>
          <w:szCs w:val="28"/>
          <w:lang w:val="en-US"/>
        </w:rPr>
        <w:t>.2</w:t>
      </w:r>
    </w:p>
    <w:p w14:paraId="65BF601C"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79D7112C" w14:textId="4F468292" w:rsidR="00D4259F" w:rsidRPr="002C22C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9773A6">
        <w:rPr>
          <w:rFonts w:ascii="Arial" w:hAnsi="Arial" w:cs="Arial"/>
          <w:b/>
          <w:noProof/>
          <w:sz w:val="28"/>
          <w:szCs w:val="28"/>
          <w:lang w:val="en-US" w:eastAsia="ko-KR"/>
        </w:rPr>
        <w:t xml:space="preserve">Discussion on </w:t>
      </w:r>
      <w:r w:rsidR="00D070A7">
        <w:rPr>
          <w:rFonts w:ascii="Arial" w:hAnsi="Arial" w:cs="Arial"/>
          <w:b/>
          <w:noProof/>
          <w:sz w:val="28"/>
          <w:szCs w:val="28"/>
          <w:lang w:val="en-US" w:eastAsia="ko-KR"/>
        </w:rPr>
        <w:t>handover enhancement</w:t>
      </w:r>
      <w:r w:rsidR="00191C50">
        <w:rPr>
          <w:rFonts w:ascii="Arial" w:hAnsi="Arial" w:cs="Arial" w:hint="eastAsia"/>
          <w:b/>
          <w:noProof/>
          <w:sz w:val="28"/>
          <w:szCs w:val="28"/>
          <w:lang w:val="en-US" w:eastAsia="ko-KR"/>
        </w:rPr>
        <w:t>s</w:t>
      </w:r>
      <w:r w:rsidR="002C22CF">
        <w:rPr>
          <w:rFonts w:ascii="Arial" w:hAnsi="Arial" w:cs="Arial"/>
          <w:b/>
          <w:noProof/>
          <w:sz w:val="28"/>
          <w:szCs w:val="28"/>
          <w:lang w:val="en-US" w:eastAsia="ko-KR"/>
        </w:rPr>
        <w:t xml:space="preserve"> for NTN</w:t>
      </w:r>
    </w:p>
    <w:p w14:paraId="4ABAC09E"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55BABA9" w14:textId="55626AB3" w:rsidR="00467183" w:rsidRPr="001E63ED" w:rsidRDefault="00B02523" w:rsidP="001E63ED">
      <w:pPr>
        <w:pStyle w:val="1"/>
        <w:rPr>
          <w:rFonts w:ascii="Times New Roman" w:hAnsi="Times New Roman"/>
          <w:lang w:val="en-US" w:eastAsia="ko-KR"/>
        </w:rPr>
      </w:pPr>
      <w:r>
        <w:rPr>
          <w:rFonts w:hint="eastAsia"/>
          <w:lang w:val="en-US" w:eastAsia="ko-KR"/>
        </w:rPr>
        <w:t>1. Introduction</w:t>
      </w:r>
    </w:p>
    <w:p w14:paraId="0E20B2E5" w14:textId="7AC19064" w:rsidR="00467183" w:rsidRPr="000448EE" w:rsidRDefault="00467183" w:rsidP="002D74B1">
      <w:pPr>
        <w:spacing w:before="180"/>
        <w:ind w:firstLineChars="100" w:firstLine="200"/>
        <w:rPr>
          <w:bCs/>
          <w:lang w:eastAsia="ko-KR"/>
        </w:rPr>
      </w:pPr>
      <w:r w:rsidRPr="00467183">
        <w:rPr>
          <w:bCs/>
          <w:lang w:eastAsia="ko-KR"/>
        </w:rPr>
        <w:t xml:space="preserve">In this </w:t>
      </w:r>
      <w:r w:rsidR="001E63ED">
        <w:rPr>
          <w:rFonts w:hint="eastAsia"/>
          <w:bCs/>
          <w:lang w:eastAsia="ko-KR"/>
        </w:rPr>
        <w:t>contribution</w:t>
      </w:r>
      <w:r w:rsidRPr="00467183">
        <w:rPr>
          <w:bCs/>
          <w:lang w:eastAsia="ko-KR"/>
        </w:rPr>
        <w:t xml:space="preserve">, we </w:t>
      </w:r>
      <w:r w:rsidR="001E63ED">
        <w:rPr>
          <w:bCs/>
          <w:lang w:eastAsia="ko-KR"/>
        </w:rPr>
        <w:t>discuss</w:t>
      </w:r>
      <w:r w:rsidRPr="00467183">
        <w:rPr>
          <w:bCs/>
          <w:lang w:eastAsia="ko-KR"/>
        </w:rPr>
        <w:t xml:space="preserve"> the issues to consider </w:t>
      </w:r>
      <w:r>
        <w:rPr>
          <w:bCs/>
          <w:lang w:eastAsia="ko-KR"/>
        </w:rPr>
        <w:t>handover</w:t>
      </w:r>
      <w:r w:rsidRPr="00467183">
        <w:rPr>
          <w:bCs/>
          <w:lang w:eastAsia="ko-KR"/>
        </w:rPr>
        <w:t xml:space="preserve"> enhancement</w:t>
      </w:r>
      <w:r w:rsidR="001E63ED">
        <w:rPr>
          <w:bCs/>
          <w:lang w:eastAsia="ko-KR"/>
        </w:rPr>
        <w:t>s</w:t>
      </w:r>
      <w:r w:rsidRPr="00467183">
        <w:rPr>
          <w:bCs/>
          <w:lang w:eastAsia="ko-KR"/>
        </w:rPr>
        <w:t xml:space="preserve"> for </w:t>
      </w:r>
      <w:r>
        <w:rPr>
          <w:bCs/>
          <w:lang w:eastAsia="ko-KR"/>
        </w:rPr>
        <w:t>NTN</w:t>
      </w:r>
      <w:r w:rsidRPr="00467183">
        <w:rPr>
          <w:bCs/>
          <w:lang w:eastAsia="ko-KR"/>
        </w:rPr>
        <w:t>.</w:t>
      </w:r>
    </w:p>
    <w:p w14:paraId="5790D3F1" w14:textId="02074ADE" w:rsidR="006167D5" w:rsidRDefault="00B02523" w:rsidP="004464E3">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6FE8F407" w14:textId="2BD606FE" w:rsidR="001E63ED" w:rsidRDefault="00FA1C47" w:rsidP="002D74B1">
      <w:pPr>
        <w:ind w:firstLineChars="100" w:firstLine="200"/>
        <w:jc w:val="both"/>
        <w:rPr>
          <w:lang w:val="en-US" w:eastAsia="ko-KR"/>
        </w:rPr>
      </w:pPr>
      <w:r w:rsidRPr="00FA1C47">
        <w:rPr>
          <w:lang w:val="en-US" w:eastAsia="ko-KR"/>
        </w:rPr>
        <w:t>I</w:t>
      </w:r>
      <w:r w:rsidR="001E63ED">
        <w:rPr>
          <w:lang w:val="en-US" w:eastAsia="ko-KR"/>
        </w:rPr>
        <w:t>n RAN2#119bis-e</w:t>
      </w:r>
      <w:r w:rsidR="000B6E63">
        <w:rPr>
          <w:lang w:val="en-US" w:eastAsia="ko-KR"/>
        </w:rPr>
        <w:t xml:space="preserve"> meeting, following statement agreed.</w:t>
      </w:r>
    </w:p>
    <w:tbl>
      <w:tblPr>
        <w:tblStyle w:val="af4"/>
        <w:tblW w:w="0" w:type="auto"/>
        <w:tblLook w:val="04A0" w:firstRow="1" w:lastRow="0" w:firstColumn="1" w:lastColumn="0" w:noHBand="0" w:noVBand="1"/>
      </w:tblPr>
      <w:tblGrid>
        <w:gridCol w:w="9629"/>
      </w:tblGrid>
      <w:tr w:rsidR="000B6E63" w14:paraId="5D4D0CE0" w14:textId="77777777" w:rsidTr="000B6E63">
        <w:tc>
          <w:tcPr>
            <w:tcW w:w="9629" w:type="dxa"/>
          </w:tcPr>
          <w:p w14:paraId="2A5BAB8A" w14:textId="19D09930" w:rsidR="000B6E63" w:rsidRDefault="000B6E63" w:rsidP="000B6E63">
            <w:pPr>
              <w:jc w:val="both"/>
              <w:rPr>
                <w:lang w:val="en-US" w:eastAsia="ko-KR"/>
              </w:rPr>
            </w:pPr>
            <w:r>
              <w:rPr>
                <w:rFonts w:hint="eastAsia"/>
                <w:lang w:val="en-US" w:eastAsia="ko-KR"/>
              </w:rPr>
              <w:t>RAN2#119bis-e agreement:</w:t>
            </w:r>
          </w:p>
          <w:p w14:paraId="41B87AD5" w14:textId="0E3E4151" w:rsidR="000B6E63" w:rsidRDefault="000B6E63" w:rsidP="000B6E63">
            <w:pPr>
              <w:jc w:val="both"/>
              <w:rPr>
                <w:lang w:val="en-US" w:eastAsia="ko-KR"/>
              </w:rPr>
            </w:pPr>
            <w:r>
              <w:rPr>
                <w:lang w:val="en-US" w:eastAsia="ko-KR"/>
              </w:rPr>
              <w:t>1</w:t>
            </w:r>
            <w:r w:rsidRPr="000B6E63">
              <w:rPr>
                <w:lang w:val="en-US" w:eastAsia="ko-KR"/>
              </w:rPr>
              <w:t>.</w:t>
            </w:r>
            <w:r w:rsidRPr="000B6E63">
              <w:rPr>
                <w:lang w:val="en-US" w:eastAsia="ko-KR"/>
              </w:rPr>
              <w:tab/>
              <w:t>Send an LS to RAN1 (cc RAN4) listing the scenarios (intra-satellite, inter-satellite with same or different feeder links) and check with RAN1 in which scenarios RACH-less is possible (with no indication of RAN2 preference)</w:t>
            </w:r>
          </w:p>
        </w:tc>
      </w:tr>
    </w:tbl>
    <w:p w14:paraId="66C1C6E1" w14:textId="32F792C3" w:rsidR="00484EF0" w:rsidRDefault="00F6436F" w:rsidP="00484EF0">
      <w:pPr>
        <w:ind w:firstLineChars="100" w:firstLine="200"/>
        <w:jc w:val="both"/>
        <w:rPr>
          <w:lang w:val="en-US" w:eastAsia="ko-KR"/>
        </w:rPr>
      </w:pPr>
      <w:r w:rsidRPr="00F6436F">
        <w:rPr>
          <w:lang w:val="en-US" w:eastAsia="ko-KR"/>
        </w:rPr>
        <w:t xml:space="preserve">Before </w:t>
      </w:r>
      <w:r w:rsidR="00134DCC">
        <w:rPr>
          <w:lang w:val="en-US" w:eastAsia="ko-KR"/>
        </w:rPr>
        <w:t xml:space="preserve">arriving answer from RAN1 about </w:t>
      </w:r>
      <w:r w:rsidRPr="00F6436F">
        <w:rPr>
          <w:lang w:val="en-US" w:eastAsia="ko-KR"/>
        </w:rPr>
        <w:t>possibility of RACH-less HO, RAN2 needs to clarify which scenario needs RACH-less HO. For the scenario of intra-satellite with the same feeder link, i.e., no feeder link switch, HO occurs when UE gets out of source cell’s coverage or source cell’s coverage moves away from UE due to satellite movement. The HO attempts are not concentrated within a short period of time for both cases. It means that there is no RA congestion. Therefore, RACH-less HO is not necessary to intra-satellite</w:t>
      </w:r>
      <w:r w:rsidR="00424D39">
        <w:rPr>
          <w:lang w:val="en-US" w:eastAsia="ko-KR"/>
        </w:rPr>
        <w:t xml:space="preserve"> scenario</w:t>
      </w:r>
      <w:r w:rsidRPr="00F6436F">
        <w:rPr>
          <w:lang w:val="en-US" w:eastAsia="ko-KR"/>
        </w:rPr>
        <w:t xml:space="preserve"> wi</w:t>
      </w:r>
      <w:r w:rsidR="00424D39">
        <w:rPr>
          <w:lang w:val="en-US" w:eastAsia="ko-KR"/>
        </w:rPr>
        <w:t>th the same feeder links</w:t>
      </w:r>
      <w:r w:rsidRPr="00F6436F">
        <w:rPr>
          <w:lang w:val="en-US" w:eastAsia="ko-KR"/>
        </w:rPr>
        <w:t>.</w:t>
      </w:r>
    </w:p>
    <w:p w14:paraId="5EC60154" w14:textId="6D2DE016" w:rsidR="00484EF0" w:rsidRPr="00484EF0" w:rsidRDefault="00484EF0" w:rsidP="00484EF0">
      <w:pPr>
        <w:ind w:firstLineChars="100" w:firstLine="200"/>
        <w:jc w:val="both"/>
        <w:rPr>
          <w:lang w:val="en-US" w:eastAsia="ko-KR"/>
        </w:rPr>
      </w:pPr>
      <w:r>
        <w:rPr>
          <w:lang w:val="en-US" w:eastAsia="ko-KR"/>
        </w:rPr>
        <w:t>For the scenario of intra-satellite with different feeder link, HO occurs due to feeder link switch. All UEs served by the same serving cell have to conduct HO to target cell simultaneously. Similarly, for the scenario of inter-satellite with same or different feeder link, massive HO attempts occur within short period of time. In these scenarios, it is worthy to continue to discuss benefit of RACH-less HO for intra-satellite with different feeder link scenario and inter-satellite with same/different feeder link scenarios.</w:t>
      </w:r>
    </w:p>
    <w:p w14:paraId="5FE83000" w14:textId="373502B2" w:rsidR="00F6436F" w:rsidRPr="00F6436F" w:rsidRDefault="00F6436F" w:rsidP="00F6436F">
      <w:pPr>
        <w:ind w:left="1374" w:hangingChars="700" w:hanging="1374"/>
        <w:jc w:val="both"/>
        <w:rPr>
          <w:b/>
          <w:lang w:val="en-US" w:eastAsia="ko-KR"/>
        </w:rPr>
      </w:pPr>
      <w:r w:rsidRPr="00F6436F">
        <w:rPr>
          <w:b/>
          <w:lang w:val="en-US" w:eastAsia="ko-KR"/>
        </w:rPr>
        <w:t>Observation 1</w:t>
      </w:r>
      <w:r w:rsidRPr="00F6436F">
        <w:rPr>
          <w:b/>
          <w:lang w:val="en-US" w:eastAsia="ko-KR"/>
        </w:rPr>
        <w:tab/>
        <w:t>For intra-satellite</w:t>
      </w:r>
      <w:r w:rsidR="00424D39" w:rsidRPr="00F6436F">
        <w:rPr>
          <w:b/>
          <w:lang w:val="en-US" w:eastAsia="ko-KR"/>
        </w:rPr>
        <w:t xml:space="preserve"> scenario</w:t>
      </w:r>
      <w:r w:rsidRPr="00F6436F">
        <w:rPr>
          <w:b/>
          <w:lang w:val="en-US" w:eastAsia="ko-KR"/>
        </w:rPr>
        <w:t xml:space="preserve"> with </w:t>
      </w:r>
      <w:r>
        <w:rPr>
          <w:b/>
          <w:lang w:val="en-US" w:eastAsia="ko-KR"/>
        </w:rPr>
        <w:t xml:space="preserve">the </w:t>
      </w:r>
      <w:r w:rsidRPr="00F6436F">
        <w:rPr>
          <w:b/>
          <w:lang w:val="en-US" w:eastAsia="ko-KR"/>
        </w:rPr>
        <w:t>same feeder link, HO attempts are not concentrated within short period of time, therefore, RA congestion does not occur.</w:t>
      </w:r>
    </w:p>
    <w:p w14:paraId="7F08A911" w14:textId="76493CEF" w:rsidR="00484EF0" w:rsidRPr="00484EF0" w:rsidRDefault="00484EF0" w:rsidP="00484EF0">
      <w:pPr>
        <w:ind w:left="1374" w:hangingChars="700" w:hanging="1374"/>
        <w:jc w:val="both"/>
        <w:rPr>
          <w:lang w:val="en-US" w:eastAsia="ko-KR"/>
        </w:rPr>
      </w:pPr>
      <w:r w:rsidRPr="00F6436F">
        <w:rPr>
          <w:b/>
          <w:lang w:val="en-US" w:eastAsia="ko-KR"/>
        </w:rPr>
        <w:t>Observation 2</w:t>
      </w:r>
      <w:r w:rsidRPr="00F6436F">
        <w:rPr>
          <w:b/>
          <w:lang w:val="en-US" w:eastAsia="ko-KR"/>
        </w:rPr>
        <w:tab/>
        <w:t>For intra-satellite</w:t>
      </w:r>
      <w:r>
        <w:rPr>
          <w:b/>
          <w:lang w:val="en-US" w:eastAsia="ko-KR"/>
        </w:rPr>
        <w:t xml:space="preserve"> scenario</w:t>
      </w:r>
      <w:r w:rsidRPr="00F6436F">
        <w:rPr>
          <w:b/>
          <w:lang w:val="en-US" w:eastAsia="ko-KR"/>
        </w:rPr>
        <w:t xml:space="preserve"> with different feeder link and inter satellite scenarios with same/different feeder link, HO attempts may be concentrated within short period of time, therefore, RA congestion may occur.</w:t>
      </w:r>
    </w:p>
    <w:p w14:paraId="1596474C" w14:textId="5B5F014D" w:rsidR="00F6436F" w:rsidRDefault="00F6436F" w:rsidP="00484EF0">
      <w:pPr>
        <w:ind w:left="1374" w:hangingChars="700" w:hanging="1374"/>
        <w:jc w:val="both"/>
        <w:rPr>
          <w:lang w:val="en-US" w:eastAsia="ko-KR"/>
        </w:rPr>
      </w:pPr>
      <w:r w:rsidRPr="00F6436F">
        <w:rPr>
          <w:rFonts w:hint="eastAsia"/>
          <w:b/>
          <w:lang w:val="en-US" w:eastAsia="ko-KR"/>
        </w:rPr>
        <w:t>Proposal 1</w:t>
      </w:r>
      <w:r w:rsidRPr="00F6436F">
        <w:rPr>
          <w:rFonts w:hint="eastAsia"/>
          <w:b/>
          <w:lang w:val="en-US" w:eastAsia="ko-KR"/>
        </w:rPr>
        <w:tab/>
        <w:t xml:space="preserve">RACH-less HO is not necessary to intra-satellite </w:t>
      </w:r>
      <w:r w:rsidR="00424D39">
        <w:rPr>
          <w:b/>
          <w:lang w:val="en-US" w:eastAsia="ko-KR"/>
        </w:rPr>
        <w:t xml:space="preserve">scenario </w:t>
      </w:r>
      <w:r w:rsidRPr="00F6436F">
        <w:rPr>
          <w:rFonts w:hint="eastAsia"/>
          <w:b/>
          <w:lang w:val="en-US" w:eastAsia="ko-KR"/>
        </w:rPr>
        <w:t>with same feeder link.</w:t>
      </w:r>
    </w:p>
    <w:p w14:paraId="73413980" w14:textId="45DBC9E3" w:rsidR="00F6436F" w:rsidRDefault="007C42BF" w:rsidP="007C42BF">
      <w:pPr>
        <w:ind w:left="1374" w:hangingChars="700" w:hanging="1374"/>
        <w:jc w:val="both"/>
        <w:rPr>
          <w:lang w:val="en-US" w:eastAsia="ko-KR"/>
        </w:rPr>
      </w:pPr>
      <w:r w:rsidRPr="007C42BF">
        <w:rPr>
          <w:rFonts w:hint="eastAsia"/>
          <w:b/>
          <w:lang w:val="en-US" w:eastAsia="ko-KR"/>
        </w:rPr>
        <w:t>Proposal 2</w:t>
      </w:r>
      <w:r w:rsidRPr="007C42BF">
        <w:rPr>
          <w:rFonts w:hint="eastAsia"/>
          <w:b/>
          <w:lang w:val="en-US" w:eastAsia="ko-KR"/>
        </w:rPr>
        <w:tab/>
        <w:t xml:space="preserve">Continue to discuss </w:t>
      </w:r>
      <w:r w:rsidR="00B937C5">
        <w:rPr>
          <w:b/>
          <w:lang w:val="en-US" w:eastAsia="ko-KR"/>
        </w:rPr>
        <w:t>feasibility</w:t>
      </w:r>
      <w:r w:rsidRPr="007C42BF">
        <w:rPr>
          <w:b/>
          <w:lang w:val="en-US" w:eastAsia="ko-KR"/>
        </w:rPr>
        <w:t xml:space="preserve"> of RACH-less HO for intra-satellite</w:t>
      </w:r>
      <w:r w:rsidR="00333E4A" w:rsidRPr="007C42BF">
        <w:rPr>
          <w:b/>
          <w:lang w:val="en-US" w:eastAsia="ko-KR"/>
        </w:rPr>
        <w:t xml:space="preserve"> scenario</w:t>
      </w:r>
      <w:r w:rsidRPr="007C42BF">
        <w:rPr>
          <w:b/>
          <w:lang w:val="en-US" w:eastAsia="ko-KR"/>
        </w:rPr>
        <w:t xml:space="preserve"> with different feeder link and inter-satellite</w:t>
      </w:r>
      <w:r w:rsidR="00333E4A" w:rsidRPr="007C42BF">
        <w:rPr>
          <w:b/>
          <w:lang w:val="en-US" w:eastAsia="ko-KR"/>
        </w:rPr>
        <w:t xml:space="preserve"> scenarios</w:t>
      </w:r>
      <w:r w:rsidRPr="007C42BF">
        <w:rPr>
          <w:b/>
          <w:lang w:val="en-US" w:eastAsia="ko-KR"/>
        </w:rPr>
        <w:t xml:space="preserve"> with same/different feeder link.</w:t>
      </w:r>
    </w:p>
    <w:p w14:paraId="08E9F31E" w14:textId="00614F76" w:rsidR="00987452" w:rsidRDefault="00987452" w:rsidP="00987452">
      <w:pPr>
        <w:ind w:firstLineChars="100" w:firstLine="200"/>
        <w:jc w:val="both"/>
        <w:rPr>
          <w:lang w:val="en-US" w:eastAsia="ko-KR"/>
        </w:rPr>
      </w:pPr>
      <w:r>
        <w:rPr>
          <w:lang w:val="en-US" w:eastAsia="ko-KR"/>
        </w:rPr>
        <w:t>According to TS 38.211, the timing advance is calculated as follows.</w:t>
      </w:r>
    </w:p>
    <w:p w14:paraId="12207076" w14:textId="77777777" w:rsidR="00987452" w:rsidRPr="008120AF" w:rsidRDefault="00B1620A" w:rsidP="00987452">
      <w:pPr>
        <w:jc w:val="both"/>
        <w:rPr>
          <w:lang w:val="en-US" w:eastAsia="ko-KR"/>
        </w:rPr>
      </w:pPr>
      <m:oMathPara>
        <m:oMathParaPr>
          <m:jc m:val="center"/>
        </m:oMathParaP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m:r>
                    <m:rPr>
                      <m:nor/>
                    </m:rPr>
                    <w:rPr>
                      <w:rFonts w:ascii="Cambria Math" w:hAnsi="Cambria Math"/>
                      <w:lang w:val="sv-SE"/>
                    </w:rPr>
                    <m:t>TA,offset</m:t>
                  </m:r>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m:oMathPara>
    </w:p>
    <w:p w14:paraId="018718F1" w14:textId="77777777" w:rsidR="00987452" w:rsidRDefault="00987452" w:rsidP="00987452">
      <w:pPr>
        <w:ind w:firstLineChars="100" w:firstLine="200"/>
        <w:jc w:val="both"/>
        <w:rPr>
          <w:lang w:eastAsia="ko-KR"/>
        </w:rPr>
      </w:pPr>
      <w:r>
        <w:rPr>
          <w:lang w:val="en-US" w:eastAsia="ko-KR"/>
        </w:rPr>
        <w:t xml:space="preserve">UE can derive target cell’s common TA and UE-specific TA, i.e., </w:t>
      </w:r>
      <m:oMath>
        <m:sSubSup>
          <m:sSubSupPr>
            <m:ctrlPr>
              <w:rPr>
                <w:rFonts w:ascii="Cambria Math" w:hAnsi="Cambria Math"/>
                <w:lang w:val="en-US" w:eastAsia="ko-KR"/>
              </w:rPr>
            </m:ctrlPr>
          </m:sSubSupPr>
          <m:e>
            <m:r>
              <w:rPr>
                <w:rFonts w:ascii="Cambria Math" w:hAnsi="Cambria Math"/>
                <w:lang w:val="en-US" w:eastAsia="ko-KR"/>
              </w:rPr>
              <m:t>N</m:t>
            </m:r>
          </m:e>
          <m:sub>
            <m:r>
              <m:rPr>
                <m:nor/>
              </m:rPr>
              <w:rPr>
                <w:lang w:val="en-US" w:eastAsia="ko-KR"/>
              </w:rPr>
              <m:t>TA,adj</m:t>
            </m:r>
          </m:sub>
          <m:sup>
            <m:r>
              <m:rPr>
                <m:nor/>
              </m:rPr>
              <w:rPr>
                <w:lang w:val="en-US" w:eastAsia="ko-KR"/>
              </w:rPr>
              <m:t>common</m:t>
            </m:r>
          </m:sup>
        </m:sSubSup>
      </m:oMath>
      <w:r w:rsidRPr="00021BE1">
        <w:rPr>
          <w:rFonts w:hint="eastAsia"/>
          <w:lang w:val="en-US" w:eastAsia="ko-KR"/>
        </w:rPr>
        <w:t xml:space="preserve"> and </w:t>
      </w:r>
      <m:oMath>
        <m:sSubSup>
          <m:sSubSupPr>
            <m:ctrlPr>
              <w:rPr>
                <w:rFonts w:ascii="Cambria Math" w:hAnsi="Cambria Math"/>
                <w:lang w:val="en-US" w:eastAsia="ko-KR"/>
              </w:rPr>
            </m:ctrlPr>
          </m:sSubSupPr>
          <m:e>
            <m:r>
              <w:rPr>
                <w:rFonts w:ascii="Cambria Math" w:hAnsi="Cambria Math"/>
                <w:lang w:val="en-US" w:eastAsia="ko-KR"/>
              </w:rPr>
              <m:t>N</m:t>
            </m:r>
          </m:e>
          <m:sub>
            <m:r>
              <m:rPr>
                <m:nor/>
              </m:rPr>
              <w:rPr>
                <w:lang w:val="en-US" w:eastAsia="ko-KR"/>
              </w:rPr>
              <m:t>TA,adj</m:t>
            </m:r>
          </m:sub>
          <m:sup>
            <m:r>
              <m:rPr>
                <m:nor/>
              </m:rPr>
              <w:rPr>
                <w:lang w:val="en-US" w:eastAsia="ko-KR"/>
              </w:rPr>
              <m:t>UE</m:t>
            </m:r>
          </m:sup>
        </m:sSubSup>
      </m:oMath>
      <w:r w:rsidRPr="00021BE1">
        <w:rPr>
          <w:rFonts w:hint="eastAsia"/>
          <w:lang w:val="en-US" w:eastAsia="ko-KR"/>
        </w:rPr>
        <w:t xml:space="preserve"> </w:t>
      </w:r>
      <w:r w:rsidRPr="00021BE1">
        <w:rPr>
          <w:lang w:val="en-US" w:eastAsia="ko-KR"/>
        </w:rPr>
        <w:t xml:space="preserve">using NTN parameters conveyed by SIB19. To conduct RACH-less HO, UE should be able to derive target cell’s </w:t>
      </w:r>
      <w:r w:rsidRPr="00021BE1">
        <w:rPr>
          <w:i/>
          <w:lang w:val="en-US" w:eastAsia="ko-KR"/>
        </w:rPr>
        <w:t>N</w:t>
      </w:r>
      <w:r w:rsidRPr="00021BE1">
        <w:rPr>
          <w:vertAlign w:val="subscript"/>
          <w:lang w:val="en-US" w:eastAsia="ko-KR"/>
        </w:rPr>
        <w:t>TA</w:t>
      </w:r>
      <w:r w:rsidRPr="00021BE1">
        <w:rPr>
          <w:lang w:val="en-US" w:eastAsia="ko-KR"/>
        </w:rPr>
        <w:t xml:space="preserve"> with source cell’s </w:t>
      </w:r>
      <w:r w:rsidRPr="00021BE1">
        <w:rPr>
          <w:i/>
          <w:lang w:val="en-US" w:eastAsia="ko-KR"/>
        </w:rPr>
        <w:t>N</w:t>
      </w:r>
      <w:r w:rsidRPr="00021BE1">
        <w:rPr>
          <w:vertAlign w:val="subscript"/>
          <w:lang w:val="en-US" w:eastAsia="ko-KR"/>
        </w:rPr>
        <w:t>TA</w:t>
      </w:r>
      <w:r w:rsidRPr="00021BE1">
        <w:rPr>
          <w:lang w:val="en-US" w:eastAsia="ko-KR"/>
        </w:rPr>
        <w:t xml:space="preserve"> and NTN-specific capability.</w:t>
      </w:r>
    </w:p>
    <w:p w14:paraId="36D48043" w14:textId="4EE63810" w:rsidR="00987452" w:rsidRPr="002D74B1" w:rsidRDefault="00987452" w:rsidP="00987452">
      <w:pPr>
        <w:ind w:left="1374" w:hangingChars="700" w:hanging="1374"/>
        <w:jc w:val="both"/>
        <w:rPr>
          <w:lang w:val="en-US" w:eastAsia="ko-KR"/>
        </w:rPr>
      </w:pPr>
      <w:r>
        <w:rPr>
          <w:b/>
          <w:lang w:val="en-US" w:eastAsia="ko-KR"/>
        </w:rPr>
        <w:t>Proposal 3</w:t>
      </w:r>
      <w:r w:rsidRPr="00ED389C">
        <w:rPr>
          <w:b/>
          <w:lang w:val="en-US" w:eastAsia="ko-KR"/>
        </w:rPr>
        <w:tab/>
        <w:t xml:space="preserve">UE should be able to derive target cell’s </w:t>
      </w:r>
      <w:r w:rsidRPr="00987452">
        <w:rPr>
          <w:b/>
          <w:lang w:val="en-US" w:eastAsia="ko-KR"/>
        </w:rPr>
        <w:t>NTA</w:t>
      </w:r>
      <w:r w:rsidRPr="00ED389C">
        <w:rPr>
          <w:b/>
          <w:lang w:val="en-US" w:eastAsia="ko-KR"/>
        </w:rPr>
        <w:t xml:space="preserve"> with source cell’s </w:t>
      </w:r>
      <w:r w:rsidRPr="00987452">
        <w:rPr>
          <w:b/>
          <w:lang w:val="en-US" w:eastAsia="ko-KR"/>
        </w:rPr>
        <w:t>NTA</w:t>
      </w:r>
      <w:r w:rsidRPr="00ED389C">
        <w:rPr>
          <w:b/>
          <w:lang w:val="en-US" w:eastAsia="ko-KR"/>
        </w:rPr>
        <w:t xml:space="preserve"> and NTN-specific capability</w:t>
      </w:r>
      <w:r>
        <w:rPr>
          <w:b/>
          <w:lang w:val="en-US" w:eastAsia="ko-KR"/>
        </w:rPr>
        <w:t xml:space="preserve"> to apply RACH-less HO to NTN</w:t>
      </w:r>
      <w:r w:rsidRPr="00ED389C">
        <w:rPr>
          <w:b/>
          <w:lang w:val="en-US" w:eastAsia="ko-KR"/>
        </w:rPr>
        <w:t>.</w:t>
      </w:r>
    </w:p>
    <w:p w14:paraId="2847DE89" w14:textId="0C4D34A9" w:rsidR="00F6436F" w:rsidRPr="00987452" w:rsidRDefault="00F6436F" w:rsidP="002D74B1">
      <w:pPr>
        <w:jc w:val="both"/>
        <w:rPr>
          <w:lang w:val="en-US" w:eastAsia="ko-KR"/>
        </w:rPr>
      </w:pPr>
    </w:p>
    <w:p w14:paraId="73CAE135" w14:textId="1E85D4A6" w:rsidR="003C79F3" w:rsidRDefault="003C79F3" w:rsidP="003C79F3">
      <w:pPr>
        <w:ind w:firstLineChars="100" w:firstLine="200"/>
        <w:jc w:val="both"/>
        <w:rPr>
          <w:lang w:val="en-US" w:eastAsia="ko-KR"/>
        </w:rPr>
      </w:pPr>
      <w:r>
        <w:rPr>
          <w:lang w:val="en-US" w:eastAsia="ko-KR"/>
        </w:rPr>
        <w:lastRenderedPageBreak/>
        <w:t>In RAN2#119bis-e meeting, following statement agreed.</w:t>
      </w:r>
    </w:p>
    <w:tbl>
      <w:tblPr>
        <w:tblStyle w:val="af4"/>
        <w:tblW w:w="0" w:type="auto"/>
        <w:tblLook w:val="04A0" w:firstRow="1" w:lastRow="0" w:firstColumn="1" w:lastColumn="0" w:noHBand="0" w:noVBand="1"/>
      </w:tblPr>
      <w:tblGrid>
        <w:gridCol w:w="9629"/>
      </w:tblGrid>
      <w:tr w:rsidR="003C79F3" w14:paraId="2014A514" w14:textId="77777777" w:rsidTr="003C79F3">
        <w:tc>
          <w:tcPr>
            <w:tcW w:w="9629" w:type="dxa"/>
          </w:tcPr>
          <w:p w14:paraId="4372854C" w14:textId="1B7081A3" w:rsidR="003C79F3" w:rsidRDefault="003C79F3" w:rsidP="002D74B1">
            <w:pPr>
              <w:jc w:val="both"/>
              <w:rPr>
                <w:lang w:val="en-US" w:eastAsia="ko-KR"/>
              </w:rPr>
            </w:pPr>
            <w:r>
              <w:rPr>
                <w:rFonts w:hint="eastAsia"/>
                <w:lang w:val="en-US" w:eastAsia="ko-KR"/>
              </w:rPr>
              <w:t>RAN2#119bis-e agreement:</w:t>
            </w:r>
          </w:p>
          <w:p w14:paraId="21009362" w14:textId="5F8C52C3" w:rsidR="003C79F3" w:rsidRPr="003C79F3" w:rsidRDefault="003C79F3" w:rsidP="003C79F3">
            <w:pPr>
              <w:jc w:val="both"/>
              <w:rPr>
                <w:lang w:val="en-US" w:eastAsia="ko-KR"/>
              </w:rPr>
            </w:pPr>
            <w:r>
              <w:rPr>
                <w:lang w:val="en-US" w:eastAsia="ko-KR"/>
              </w:rPr>
              <w:t>1</w:t>
            </w:r>
            <w:r w:rsidRPr="003C79F3">
              <w:rPr>
                <w:lang w:val="en-US" w:eastAsia="ko-KR"/>
              </w:rPr>
              <w:t>.</w:t>
            </w:r>
            <w:r w:rsidRPr="003C79F3">
              <w:rPr>
                <w:lang w:val="en-US" w:eastAsia="ko-KR"/>
              </w:rPr>
              <w:tab/>
              <w:t xml:space="preserve">New Proposal 2: RAN2 continues the discussion (e.g. at RAN2#120) on the solution with keeping the same PCI after switching of the satellites. Clarify at least the following: </w:t>
            </w:r>
          </w:p>
          <w:p w14:paraId="2E22EC8C" w14:textId="77777777" w:rsidR="003C79F3" w:rsidRPr="003C79F3" w:rsidRDefault="003C79F3" w:rsidP="003C79F3">
            <w:pPr>
              <w:jc w:val="both"/>
              <w:rPr>
                <w:lang w:val="en-US" w:eastAsia="ko-KR"/>
              </w:rPr>
            </w:pPr>
            <w:r w:rsidRPr="003C79F3">
              <w:rPr>
                <w:lang w:val="en-US" w:eastAsia="ko-KR"/>
              </w:rPr>
              <w:tab/>
              <w:t>•</w:t>
            </w:r>
            <w:r w:rsidRPr="003C79F3">
              <w:rPr>
                <w:lang w:val="en-US" w:eastAsia="ko-KR"/>
              </w:rPr>
              <w:tab/>
              <w:t>RAN1 impact</w:t>
            </w:r>
          </w:p>
          <w:p w14:paraId="0CD97773" w14:textId="77777777" w:rsidR="003C79F3" w:rsidRPr="003C79F3" w:rsidRDefault="003C79F3" w:rsidP="003C79F3">
            <w:pPr>
              <w:jc w:val="both"/>
              <w:rPr>
                <w:lang w:val="en-US" w:eastAsia="ko-KR"/>
              </w:rPr>
            </w:pPr>
            <w:r w:rsidRPr="003C79F3">
              <w:rPr>
                <w:lang w:val="en-US" w:eastAsia="ko-KR"/>
              </w:rPr>
              <w:tab/>
              <w:t>•</w:t>
            </w:r>
            <w:r w:rsidRPr="003C79F3">
              <w:rPr>
                <w:lang w:val="en-US" w:eastAsia="ko-KR"/>
              </w:rPr>
              <w:tab/>
              <w:t xml:space="preserve">The need to perform UL beam switching and/or RA </w:t>
            </w:r>
          </w:p>
          <w:p w14:paraId="3ED22CFC" w14:textId="0DC84049" w:rsidR="003C79F3" w:rsidRDefault="003C79F3" w:rsidP="003C79F3">
            <w:pPr>
              <w:jc w:val="both"/>
              <w:rPr>
                <w:lang w:val="en-US" w:eastAsia="ko-KR"/>
              </w:rPr>
            </w:pPr>
            <w:r w:rsidRPr="003C79F3">
              <w:rPr>
                <w:lang w:val="en-US" w:eastAsia="ko-KR"/>
              </w:rPr>
              <w:tab/>
              <w:t>•</w:t>
            </w:r>
            <w:r w:rsidRPr="003C79F3">
              <w:rPr>
                <w:lang w:val="en-US" w:eastAsia="ko-KR"/>
              </w:rPr>
              <w:tab/>
              <w:t>Applicability to hard or soft satellite switching</w:t>
            </w:r>
          </w:p>
        </w:tc>
      </w:tr>
    </w:tbl>
    <w:p w14:paraId="492EABE9" w14:textId="44A21DD5" w:rsidR="003C79F3" w:rsidRDefault="003C79F3" w:rsidP="003C79F3">
      <w:pPr>
        <w:ind w:firstLineChars="100" w:firstLine="200"/>
        <w:jc w:val="both"/>
        <w:rPr>
          <w:lang w:val="en-US" w:eastAsia="ko-KR"/>
        </w:rPr>
      </w:pPr>
      <w:r>
        <w:rPr>
          <w:lang w:val="en-US" w:eastAsia="ko-KR"/>
        </w:rPr>
        <w:t xml:space="preserve">For soft satellite switching scenario, serving cell shall simultaneously broadcast SSBs for source satellite and target satellite. UE shall acquire target satellite’s SSB to conduct UL synchronization. However, two different SSBs </w:t>
      </w:r>
      <w:r w:rsidR="00BD0BDA">
        <w:rPr>
          <w:lang w:val="en-US" w:eastAsia="ko-KR"/>
        </w:rPr>
        <w:t xml:space="preserve">cannot be </w:t>
      </w:r>
      <w:r>
        <w:rPr>
          <w:lang w:val="en-US" w:eastAsia="ko-KR"/>
        </w:rPr>
        <w:t>broadcast at the same timing according to current spec</w:t>
      </w:r>
      <w:r w:rsidR="00B937C5">
        <w:rPr>
          <w:lang w:val="en-US" w:eastAsia="ko-KR"/>
        </w:rPr>
        <w:t>ification</w:t>
      </w:r>
      <w:r>
        <w:rPr>
          <w:lang w:val="en-US" w:eastAsia="ko-KR"/>
        </w:rPr>
        <w:t xml:space="preserve">. </w:t>
      </w:r>
      <w:r w:rsidR="00895AB2">
        <w:rPr>
          <w:lang w:val="en-US" w:eastAsia="ko-KR"/>
        </w:rPr>
        <w:t>To enabling the solution, RAN1 should conduct beam management enhancement</w:t>
      </w:r>
      <w:r w:rsidR="00484EF0">
        <w:rPr>
          <w:lang w:val="en-US" w:eastAsia="ko-KR"/>
        </w:rPr>
        <w:t xml:space="preserve"> such as multiple SSB transmission timing configuration for serving cell.</w:t>
      </w:r>
    </w:p>
    <w:p w14:paraId="316611BA" w14:textId="51B5C061" w:rsidR="003C79F3" w:rsidRPr="003C79F3" w:rsidRDefault="003C79F3" w:rsidP="003C79F3">
      <w:pPr>
        <w:ind w:left="1374" w:hangingChars="700" w:hanging="1374"/>
        <w:jc w:val="both"/>
        <w:rPr>
          <w:lang w:val="en-US" w:eastAsia="ko-KR"/>
        </w:rPr>
      </w:pPr>
      <w:r w:rsidRPr="003C79F3">
        <w:rPr>
          <w:b/>
          <w:lang w:val="en-US" w:eastAsia="ko-KR"/>
        </w:rPr>
        <w:t xml:space="preserve">Proposal </w:t>
      </w:r>
      <w:r w:rsidR="00B937C5">
        <w:rPr>
          <w:b/>
          <w:lang w:val="en-US" w:eastAsia="ko-KR"/>
        </w:rPr>
        <w:t>4</w:t>
      </w:r>
      <w:r w:rsidRPr="003C79F3">
        <w:rPr>
          <w:b/>
          <w:lang w:val="en-US" w:eastAsia="ko-KR"/>
        </w:rPr>
        <w:tab/>
      </w:r>
      <w:r w:rsidR="00B937C5">
        <w:rPr>
          <w:b/>
          <w:lang w:val="en-US" w:eastAsia="ko-KR"/>
        </w:rPr>
        <w:t>Soft satellite switching is impossible for the solution with keeping</w:t>
      </w:r>
      <w:r w:rsidRPr="003C79F3">
        <w:rPr>
          <w:b/>
          <w:lang w:val="en-US" w:eastAsia="ko-KR"/>
        </w:rPr>
        <w:t xml:space="preserve"> the same PCI</w:t>
      </w:r>
      <w:r w:rsidR="00B937C5">
        <w:rPr>
          <w:b/>
          <w:lang w:val="en-US" w:eastAsia="ko-KR"/>
        </w:rPr>
        <w:t>.</w:t>
      </w:r>
    </w:p>
    <w:p w14:paraId="6830EB22" w14:textId="57A25E1F" w:rsidR="00F6436F" w:rsidRDefault="00134DCC" w:rsidP="007B27B0">
      <w:pPr>
        <w:ind w:firstLineChars="100" w:firstLine="200"/>
        <w:jc w:val="both"/>
        <w:rPr>
          <w:lang w:val="en-US" w:eastAsia="ko-KR"/>
        </w:rPr>
      </w:pPr>
      <w:r>
        <w:rPr>
          <w:rFonts w:hint="eastAsia"/>
          <w:lang w:val="en-US" w:eastAsia="ko-KR"/>
        </w:rPr>
        <w:t xml:space="preserve">On the other hand, </w:t>
      </w:r>
      <w:r w:rsidR="00BD0BDA">
        <w:rPr>
          <w:lang w:val="en-US" w:eastAsia="ko-KR"/>
        </w:rPr>
        <w:t xml:space="preserve">for hard satellite switching scenario, there is no beam management </w:t>
      </w:r>
      <w:r w:rsidR="00987452">
        <w:rPr>
          <w:lang w:val="en-US" w:eastAsia="ko-KR"/>
        </w:rPr>
        <w:t xml:space="preserve">enhancement </w:t>
      </w:r>
      <w:r w:rsidR="00BD0BDA">
        <w:rPr>
          <w:lang w:val="en-US" w:eastAsia="ko-KR"/>
        </w:rPr>
        <w:t xml:space="preserve">issue. </w:t>
      </w:r>
      <w:r w:rsidR="00987452">
        <w:rPr>
          <w:lang w:val="en-US" w:eastAsia="ko-KR"/>
        </w:rPr>
        <w:t xml:space="preserve">However, </w:t>
      </w:r>
      <w:r w:rsidR="00B937C5">
        <w:rPr>
          <w:lang w:val="en-US" w:eastAsia="ko-KR"/>
        </w:rPr>
        <w:t xml:space="preserve">the solution has marginal benefit, i.e., reducing PCI signaling of target satellite. </w:t>
      </w:r>
      <w:r w:rsidR="00B937C5" w:rsidRPr="00B937C5">
        <w:rPr>
          <w:lang w:val="en-US" w:eastAsia="ko-KR"/>
        </w:rPr>
        <w:t>With delta configuration, source cell can transmit HO command containing only PCI of target cell.</w:t>
      </w:r>
      <w:r w:rsidR="00B937C5">
        <w:rPr>
          <w:lang w:val="en-US" w:eastAsia="ko-KR"/>
        </w:rPr>
        <w:t xml:space="preserve"> Furthermore, the solution only can be applied to limited scenario, i.e., quasi-earth fixed inter-satellite scenario with the same gNB. Regarding limitation of NTN WI TU, the solution should be deprioritized in NTN WI.</w:t>
      </w:r>
    </w:p>
    <w:p w14:paraId="749B88C0" w14:textId="2F93641C" w:rsidR="003C79F3" w:rsidRDefault="00B937C5" w:rsidP="00B937C5">
      <w:pPr>
        <w:ind w:left="1374" w:hangingChars="700" w:hanging="1374"/>
        <w:jc w:val="both"/>
        <w:rPr>
          <w:b/>
          <w:lang w:val="en-US" w:eastAsia="ko-KR"/>
        </w:rPr>
      </w:pPr>
      <w:r w:rsidRPr="00B937C5">
        <w:rPr>
          <w:rFonts w:hint="eastAsia"/>
          <w:b/>
          <w:lang w:val="en-US" w:eastAsia="ko-KR"/>
        </w:rPr>
        <w:t xml:space="preserve">Observation </w:t>
      </w:r>
      <w:r w:rsidRPr="00B937C5">
        <w:rPr>
          <w:b/>
          <w:lang w:val="en-US" w:eastAsia="ko-KR"/>
        </w:rPr>
        <w:t>3</w:t>
      </w:r>
      <w:r w:rsidRPr="00B937C5">
        <w:rPr>
          <w:b/>
          <w:lang w:val="en-US" w:eastAsia="ko-KR"/>
        </w:rPr>
        <w:tab/>
        <w:t xml:space="preserve">Hard satellite switching is possible for the solution. </w:t>
      </w:r>
      <w:r>
        <w:rPr>
          <w:b/>
          <w:lang w:val="en-US" w:eastAsia="ko-KR"/>
        </w:rPr>
        <w:t>However, the solution</w:t>
      </w:r>
      <w:r w:rsidRPr="00B937C5">
        <w:rPr>
          <w:b/>
          <w:lang w:val="en-US" w:eastAsia="ko-KR"/>
        </w:rPr>
        <w:t xml:space="preserve"> has marginal benefit compare to legacy HO command</w:t>
      </w:r>
      <w:r>
        <w:rPr>
          <w:b/>
          <w:lang w:val="en-US" w:eastAsia="ko-KR"/>
        </w:rPr>
        <w:t xml:space="preserve"> with delta configuration.</w:t>
      </w:r>
    </w:p>
    <w:p w14:paraId="447455BF" w14:textId="53B165FC" w:rsidR="00B937C5" w:rsidRDefault="00B937C5" w:rsidP="00B937C5">
      <w:pPr>
        <w:ind w:left="1374" w:hangingChars="700" w:hanging="1374"/>
        <w:jc w:val="both"/>
        <w:rPr>
          <w:lang w:val="en-US" w:eastAsia="ko-KR"/>
        </w:rPr>
      </w:pPr>
      <w:r>
        <w:rPr>
          <w:b/>
          <w:lang w:val="en-US" w:eastAsia="ko-KR"/>
        </w:rPr>
        <w:t>Observation 4</w:t>
      </w:r>
      <w:r>
        <w:rPr>
          <w:b/>
          <w:lang w:val="en-US" w:eastAsia="ko-KR"/>
        </w:rPr>
        <w:tab/>
        <w:t>The solution only can be applied to quasi-earth fixed inter-satellite scenario with the same gNB.</w:t>
      </w:r>
    </w:p>
    <w:p w14:paraId="0DDA2424" w14:textId="7145BE34" w:rsidR="003C79F3" w:rsidRDefault="00B937C5" w:rsidP="00CE0469">
      <w:pPr>
        <w:ind w:left="1374" w:hangingChars="700" w:hanging="1374"/>
        <w:jc w:val="both"/>
        <w:rPr>
          <w:lang w:val="en-US" w:eastAsia="ko-KR"/>
        </w:rPr>
      </w:pPr>
      <w:r w:rsidRPr="00CE0469">
        <w:rPr>
          <w:rFonts w:hint="eastAsia"/>
          <w:b/>
          <w:lang w:val="en-US" w:eastAsia="ko-KR"/>
        </w:rPr>
        <w:t>Proposal 5</w:t>
      </w:r>
      <w:r w:rsidRPr="00CE0469">
        <w:rPr>
          <w:rFonts w:hint="eastAsia"/>
          <w:b/>
          <w:lang w:val="en-US" w:eastAsia="ko-KR"/>
        </w:rPr>
        <w:tab/>
      </w:r>
      <w:r w:rsidR="00CE0469" w:rsidRPr="00CE0469">
        <w:rPr>
          <w:b/>
          <w:lang w:val="en-US" w:eastAsia="ko-KR"/>
        </w:rPr>
        <w:t>RAN2 deprioritize</w:t>
      </w:r>
      <w:r w:rsidR="00A552E3">
        <w:rPr>
          <w:b/>
          <w:lang w:val="en-US" w:eastAsia="ko-KR"/>
        </w:rPr>
        <w:t>s</w:t>
      </w:r>
      <w:r w:rsidR="00CE0469" w:rsidRPr="00CE0469">
        <w:rPr>
          <w:b/>
          <w:lang w:val="en-US" w:eastAsia="ko-KR"/>
        </w:rPr>
        <w:t xml:space="preserve"> the solution with keeping the same PCI after switching of the satellites.</w:t>
      </w:r>
    </w:p>
    <w:p w14:paraId="6FB45FF4" w14:textId="77777777" w:rsidR="00B937C5" w:rsidRDefault="00B937C5" w:rsidP="002D74B1">
      <w:pPr>
        <w:jc w:val="both"/>
        <w:rPr>
          <w:lang w:val="en-US" w:eastAsia="ko-KR"/>
        </w:rPr>
      </w:pPr>
    </w:p>
    <w:p w14:paraId="693D0746" w14:textId="77777777" w:rsidR="007B27B0" w:rsidRDefault="007B27B0" w:rsidP="007B27B0">
      <w:pPr>
        <w:ind w:firstLineChars="100" w:firstLine="200"/>
        <w:jc w:val="both"/>
        <w:rPr>
          <w:lang w:val="en-US" w:eastAsia="ko-KR"/>
        </w:rPr>
      </w:pPr>
      <w:r>
        <w:rPr>
          <w:lang w:val="en-US" w:eastAsia="ko-KR"/>
        </w:rPr>
        <w:t>In RAN2#119bis-e meeting, following statement agreed.</w:t>
      </w:r>
    </w:p>
    <w:tbl>
      <w:tblPr>
        <w:tblStyle w:val="af4"/>
        <w:tblW w:w="0" w:type="auto"/>
        <w:tblLook w:val="04A0" w:firstRow="1" w:lastRow="0" w:firstColumn="1" w:lastColumn="0" w:noHBand="0" w:noVBand="1"/>
      </w:tblPr>
      <w:tblGrid>
        <w:gridCol w:w="9629"/>
      </w:tblGrid>
      <w:tr w:rsidR="007B27B0" w14:paraId="69F5F7C5" w14:textId="77777777" w:rsidTr="00396F81">
        <w:tc>
          <w:tcPr>
            <w:tcW w:w="9629" w:type="dxa"/>
          </w:tcPr>
          <w:p w14:paraId="654CE7F6" w14:textId="77777777" w:rsidR="007B27B0" w:rsidRDefault="007B27B0" w:rsidP="00396F81">
            <w:pPr>
              <w:jc w:val="both"/>
              <w:rPr>
                <w:lang w:val="en-US" w:eastAsia="ko-KR"/>
              </w:rPr>
            </w:pPr>
            <w:r>
              <w:rPr>
                <w:rFonts w:hint="eastAsia"/>
                <w:lang w:val="en-US" w:eastAsia="ko-KR"/>
              </w:rPr>
              <w:t>RAN2#119bis-e agreement:</w:t>
            </w:r>
          </w:p>
          <w:p w14:paraId="1E02BC13" w14:textId="6BEB6856" w:rsidR="007B27B0" w:rsidRDefault="007B27B0" w:rsidP="00396F81">
            <w:pPr>
              <w:jc w:val="both"/>
              <w:rPr>
                <w:lang w:val="en-US" w:eastAsia="ko-KR"/>
              </w:rPr>
            </w:pPr>
            <w:r w:rsidRPr="007B27B0">
              <w:rPr>
                <w:lang w:val="en-US" w:eastAsia="ko-KR"/>
              </w:rPr>
              <w:t>1.</w:t>
            </w:r>
            <w:r w:rsidRPr="007B27B0">
              <w:rPr>
                <w:lang w:val="en-US" w:eastAsia="ko-KR"/>
              </w:rPr>
              <w:tab/>
              <w:t>Continue the discussion (in future meeting) on group HO / “UE specific pre-configuration of the target cell + group HO” indication in the next meeting, also on the possible real benefits</w:t>
            </w:r>
          </w:p>
        </w:tc>
      </w:tr>
    </w:tbl>
    <w:p w14:paraId="75D1F592" w14:textId="3EDE352D" w:rsidR="00B937C5" w:rsidRDefault="00C850D5" w:rsidP="007B27B0">
      <w:pPr>
        <w:ind w:firstLineChars="100" w:firstLine="200"/>
        <w:jc w:val="both"/>
        <w:rPr>
          <w:lang w:val="en-US" w:eastAsia="ko-KR"/>
        </w:rPr>
      </w:pPr>
      <w:r>
        <w:rPr>
          <w:lang w:val="en-US" w:eastAsia="ko-KR"/>
        </w:rPr>
        <w:t>LTM</w:t>
      </w:r>
      <w:r w:rsidR="007B27B0" w:rsidRPr="007B27B0">
        <w:rPr>
          <w:lang w:val="en-US" w:eastAsia="ko-KR"/>
        </w:rPr>
        <w:t xml:space="preserve"> using the candidate cell being</w:t>
      </w:r>
      <w:r>
        <w:rPr>
          <w:lang w:val="en-US" w:eastAsia="ko-KR"/>
        </w:rPr>
        <w:t xml:space="preserve"> discussed in Rel-18 </w:t>
      </w:r>
      <w:proofErr w:type="spellStart"/>
      <w:r>
        <w:rPr>
          <w:lang w:val="en-US" w:eastAsia="ko-KR"/>
        </w:rPr>
        <w:t>feMob</w:t>
      </w:r>
      <w:proofErr w:type="spellEnd"/>
      <w:r>
        <w:rPr>
          <w:lang w:val="en-US" w:eastAsia="ko-KR"/>
        </w:rPr>
        <w:t xml:space="preserve"> </w:t>
      </w:r>
      <w:r w:rsidR="007B27B0" w:rsidRPr="007B27B0">
        <w:rPr>
          <w:lang w:val="en-US" w:eastAsia="ko-KR"/>
        </w:rPr>
        <w:t>would be useful by providing the target cell configuration prior to the handover timing. If the configuration on the target cell is pre-configured, only simple indication needs to be signaled when the handover needs to be performed.</w:t>
      </w:r>
    </w:p>
    <w:p w14:paraId="5A391B8A" w14:textId="2EB51E34" w:rsidR="007B27B0" w:rsidRPr="007B27B0" w:rsidRDefault="007B27B0" w:rsidP="007B27B0">
      <w:pPr>
        <w:ind w:left="1374" w:hangingChars="700" w:hanging="1374"/>
        <w:jc w:val="both"/>
        <w:rPr>
          <w:lang w:val="en-US" w:eastAsia="ko-KR"/>
        </w:rPr>
      </w:pPr>
      <w:r w:rsidRPr="007B27B0">
        <w:rPr>
          <w:b/>
          <w:lang w:val="en-US" w:eastAsia="ko-KR"/>
        </w:rPr>
        <w:t xml:space="preserve">Observation </w:t>
      </w:r>
      <w:r>
        <w:rPr>
          <w:b/>
          <w:lang w:val="en-US" w:eastAsia="ko-KR"/>
        </w:rPr>
        <w:t>5</w:t>
      </w:r>
      <w:r w:rsidRPr="007B27B0">
        <w:rPr>
          <w:b/>
          <w:lang w:val="en-US" w:eastAsia="ko-KR"/>
        </w:rPr>
        <w:tab/>
        <w:t xml:space="preserve">The </w:t>
      </w:r>
      <w:r>
        <w:rPr>
          <w:b/>
          <w:lang w:val="en-US" w:eastAsia="ko-KR"/>
        </w:rPr>
        <w:t>handover signal</w:t>
      </w:r>
      <w:r w:rsidRPr="007B27B0">
        <w:rPr>
          <w:b/>
          <w:lang w:val="en-US" w:eastAsia="ko-KR"/>
        </w:rPr>
        <w:t>ing can be alleviated by pre-configuring the target cell using L</w:t>
      </w:r>
      <w:r w:rsidR="00C850D5">
        <w:rPr>
          <w:b/>
          <w:lang w:val="en-US" w:eastAsia="ko-KR"/>
        </w:rPr>
        <w:t>TM</w:t>
      </w:r>
      <w:r w:rsidRPr="007B27B0">
        <w:rPr>
          <w:b/>
          <w:lang w:val="en-US" w:eastAsia="ko-KR"/>
        </w:rPr>
        <w:t>.</w:t>
      </w:r>
    </w:p>
    <w:p w14:paraId="5BE266A1" w14:textId="5F0EE7C3" w:rsidR="007B27B0" w:rsidRPr="007B27B0" w:rsidRDefault="007B27B0" w:rsidP="007B27B0">
      <w:pPr>
        <w:ind w:firstLineChars="100" w:firstLine="200"/>
        <w:jc w:val="both"/>
        <w:rPr>
          <w:lang w:val="en-US" w:eastAsia="ko-KR"/>
        </w:rPr>
      </w:pPr>
      <w:r w:rsidRPr="007B27B0">
        <w:rPr>
          <w:lang w:val="en-US" w:eastAsia="ko-KR"/>
        </w:rPr>
        <w:t>Before discussing the new solution, we should thoroughly investigate whether the problem can be solved using existing solution. Therefore, we propose to investigate f</w:t>
      </w:r>
      <w:r>
        <w:rPr>
          <w:lang w:val="en-US" w:eastAsia="ko-KR"/>
        </w:rPr>
        <w:t>irst whether the handover signa</w:t>
      </w:r>
      <w:r w:rsidRPr="007B27B0">
        <w:rPr>
          <w:lang w:val="en-US" w:eastAsia="ko-KR"/>
        </w:rPr>
        <w:t xml:space="preserve">ling storm in NTN can be sufficiently alleviated using </w:t>
      </w:r>
      <w:r w:rsidR="00DB4F81">
        <w:rPr>
          <w:lang w:val="en-US" w:eastAsia="ko-KR"/>
        </w:rPr>
        <w:t>LTM</w:t>
      </w:r>
      <w:r w:rsidRPr="007B27B0">
        <w:rPr>
          <w:lang w:val="en-US" w:eastAsia="ko-KR"/>
        </w:rPr>
        <w:t>.</w:t>
      </w:r>
    </w:p>
    <w:p w14:paraId="7AEC581B" w14:textId="43C0431E" w:rsidR="007B27B0" w:rsidRPr="008120AF" w:rsidRDefault="007B27B0" w:rsidP="007B27B0">
      <w:pPr>
        <w:ind w:left="1374" w:hangingChars="700" w:hanging="1374"/>
        <w:jc w:val="both"/>
        <w:rPr>
          <w:lang w:val="en-US" w:eastAsia="ko-KR"/>
        </w:rPr>
      </w:pPr>
      <w:r>
        <w:rPr>
          <w:b/>
          <w:lang w:val="en-US" w:eastAsia="ko-KR"/>
        </w:rPr>
        <w:t>Proposal 6</w:t>
      </w:r>
      <w:r w:rsidRPr="007B27B0">
        <w:rPr>
          <w:b/>
          <w:lang w:val="en-US" w:eastAsia="ko-KR"/>
        </w:rPr>
        <w:tab/>
        <w:t>Investigate f</w:t>
      </w:r>
      <w:r>
        <w:rPr>
          <w:b/>
          <w:lang w:val="en-US" w:eastAsia="ko-KR"/>
        </w:rPr>
        <w:t>irst whether the handover signa</w:t>
      </w:r>
      <w:r w:rsidR="0017310E">
        <w:rPr>
          <w:b/>
          <w:lang w:val="en-US" w:eastAsia="ko-KR"/>
        </w:rPr>
        <w:t>ling storm</w:t>
      </w:r>
      <w:r w:rsidRPr="007B27B0">
        <w:rPr>
          <w:b/>
          <w:lang w:val="en-US" w:eastAsia="ko-KR"/>
        </w:rPr>
        <w:t xml:space="preserve"> can be sufficiently alleviated using </w:t>
      </w:r>
      <w:r w:rsidR="00DB4F81">
        <w:rPr>
          <w:b/>
          <w:lang w:val="en-US" w:eastAsia="ko-KR"/>
        </w:rPr>
        <w:t>LTM</w:t>
      </w:r>
      <w:r w:rsidRPr="007B27B0">
        <w:rPr>
          <w:b/>
          <w:lang w:val="en-US" w:eastAsia="ko-KR"/>
        </w:rPr>
        <w:t>.</w:t>
      </w:r>
    </w:p>
    <w:p w14:paraId="2ECBF6BD" w14:textId="2B425546"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7ECE4FE0" w:rsidR="00D4259F" w:rsidRDefault="00B02523" w:rsidP="00ED389C">
      <w:pPr>
        <w:ind w:firstLineChars="100" w:firstLine="200"/>
        <w:rPr>
          <w:lang w:eastAsia="ko-KR"/>
        </w:rPr>
      </w:pPr>
      <w:r>
        <w:rPr>
          <w:lang w:eastAsia="ko-KR"/>
        </w:rPr>
        <w:t xml:space="preserve">In this contribution, </w:t>
      </w:r>
      <w:r w:rsidR="00574467">
        <w:rPr>
          <w:lang w:eastAsia="ko-KR"/>
        </w:rPr>
        <w:t>following statements are proposed</w:t>
      </w:r>
      <w:r>
        <w:rPr>
          <w:lang w:eastAsia="ko-KR"/>
        </w:rPr>
        <w:t>:</w:t>
      </w:r>
    </w:p>
    <w:p w14:paraId="18365E71" w14:textId="77777777" w:rsidR="00484EF0" w:rsidRPr="00F6436F" w:rsidRDefault="00484EF0" w:rsidP="00484EF0">
      <w:pPr>
        <w:ind w:left="1374" w:hangingChars="700" w:hanging="1374"/>
        <w:jc w:val="both"/>
        <w:rPr>
          <w:b/>
          <w:lang w:val="en-US" w:eastAsia="ko-KR"/>
        </w:rPr>
      </w:pPr>
      <w:r w:rsidRPr="00F6436F">
        <w:rPr>
          <w:b/>
          <w:lang w:val="en-US" w:eastAsia="ko-KR"/>
        </w:rPr>
        <w:t>Observation 1</w:t>
      </w:r>
      <w:r w:rsidRPr="00F6436F">
        <w:rPr>
          <w:b/>
          <w:lang w:val="en-US" w:eastAsia="ko-KR"/>
        </w:rPr>
        <w:tab/>
        <w:t xml:space="preserve">For intra-satellite scenario with </w:t>
      </w:r>
      <w:r>
        <w:rPr>
          <w:b/>
          <w:lang w:val="en-US" w:eastAsia="ko-KR"/>
        </w:rPr>
        <w:t xml:space="preserve">the </w:t>
      </w:r>
      <w:r w:rsidRPr="00F6436F">
        <w:rPr>
          <w:b/>
          <w:lang w:val="en-US" w:eastAsia="ko-KR"/>
        </w:rPr>
        <w:t>same feeder link, HO attempts are not concentrated within short period of time, therefore, RA congestion does not occur.</w:t>
      </w:r>
    </w:p>
    <w:p w14:paraId="78D1D5EF" w14:textId="77777777" w:rsidR="00484EF0" w:rsidRPr="00484EF0" w:rsidRDefault="00484EF0" w:rsidP="00484EF0">
      <w:pPr>
        <w:ind w:left="1374" w:hangingChars="700" w:hanging="1374"/>
        <w:jc w:val="both"/>
        <w:rPr>
          <w:lang w:val="en-US" w:eastAsia="ko-KR"/>
        </w:rPr>
      </w:pPr>
      <w:r w:rsidRPr="00F6436F">
        <w:rPr>
          <w:b/>
          <w:lang w:val="en-US" w:eastAsia="ko-KR"/>
        </w:rPr>
        <w:t>Observation 2</w:t>
      </w:r>
      <w:r w:rsidRPr="00F6436F">
        <w:rPr>
          <w:b/>
          <w:lang w:val="en-US" w:eastAsia="ko-KR"/>
        </w:rPr>
        <w:tab/>
        <w:t>For intra-satellite</w:t>
      </w:r>
      <w:r>
        <w:rPr>
          <w:b/>
          <w:lang w:val="en-US" w:eastAsia="ko-KR"/>
        </w:rPr>
        <w:t xml:space="preserve"> scenario</w:t>
      </w:r>
      <w:r w:rsidRPr="00F6436F">
        <w:rPr>
          <w:b/>
          <w:lang w:val="en-US" w:eastAsia="ko-KR"/>
        </w:rPr>
        <w:t xml:space="preserve"> with different feeder link and inter satellite scenarios with same/different feeder link, HO attempts may be concentrated within short period of time, therefore, RA congestion may occur.</w:t>
      </w:r>
    </w:p>
    <w:p w14:paraId="25093D91" w14:textId="77777777" w:rsidR="00484EF0" w:rsidRDefault="00484EF0" w:rsidP="00484EF0">
      <w:pPr>
        <w:ind w:left="1374" w:hangingChars="700" w:hanging="1374"/>
        <w:jc w:val="both"/>
        <w:rPr>
          <w:lang w:val="en-US" w:eastAsia="ko-KR"/>
        </w:rPr>
      </w:pPr>
      <w:r w:rsidRPr="00F6436F">
        <w:rPr>
          <w:rFonts w:hint="eastAsia"/>
          <w:b/>
          <w:lang w:val="en-US" w:eastAsia="ko-KR"/>
        </w:rPr>
        <w:lastRenderedPageBreak/>
        <w:t>Proposal 1</w:t>
      </w:r>
      <w:r w:rsidRPr="00F6436F">
        <w:rPr>
          <w:rFonts w:hint="eastAsia"/>
          <w:b/>
          <w:lang w:val="en-US" w:eastAsia="ko-KR"/>
        </w:rPr>
        <w:tab/>
        <w:t xml:space="preserve">RACH-less HO is not necessary to intra-satellite </w:t>
      </w:r>
      <w:r>
        <w:rPr>
          <w:b/>
          <w:lang w:val="en-US" w:eastAsia="ko-KR"/>
        </w:rPr>
        <w:t xml:space="preserve">scenario </w:t>
      </w:r>
      <w:r w:rsidRPr="00F6436F">
        <w:rPr>
          <w:rFonts w:hint="eastAsia"/>
          <w:b/>
          <w:lang w:val="en-US" w:eastAsia="ko-KR"/>
        </w:rPr>
        <w:t>with same feeder link.</w:t>
      </w:r>
    </w:p>
    <w:p w14:paraId="1446A643" w14:textId="6E8BB45F" w:rsidR="007C42BF" w:rsidRDefault="00484EF0" w:rsidP="00484EF0">
      <w:pPr>
        <w:ind w:left="1374" w:hangingChars="700" w:hanging="1374"/>
        <w:jc w:val="both"/>
        <w:rPr>
          <w:b/>
          <w:lang w:val="en-US" w:eastAsia="ko-KR"/>
        </w:rPr>
      </w:pPr>
      <w:r w:rsidRPr="007C42BF">
        <w:rPr>
          <w:rFonts w:hint="eastAsia"/>
          <w:b/>
          <w:lang w:val="en-US" w:eastAsia="ko-KR"/>
        </w:rPr>
        <w:t>Proposal 2</w:t>
      </w:r>
      <w:r w:rsidRPr="007C42BF">
        <w:rPr>
          <w:rFonts w:hint="eastAsia"/>
          <w:b/>
          <w:lang w:val="en-US" w:eastAsia="ko-KR"/>
        </w:rPr>
        <w:tab/>
        <w:t xml:space="preserve">Continue to discuss </w:t>
      </w:r>
      <w:r w:rsidRPr="007C42BF">
        <w:rPr>
          <w:b/>
          <w:lang w:val="en-US" w:eastAsia="ko-KR"/>
        </w:rPr>
        <w:t>benefit of RACH-less HO for intra-satellite scenario with different feeder link and inter-satellite scenarios with same/different feeder link.</w:t>
      </w:r>
    </w:p>
    <w:p w14:paraId="02DE0676" w14:textId="1D5C070A" w:rsidR="00B937C5" w:rsidRPr="00B937C5" w:rsidRDefault="00B937C5" w:rsidP="00B937C5">
      <w:pPr>
        <w:ind w:left="1374" w:hangingChars="700" w:hanging="1374"/>
        <w:jc w:val="both"/>
        <w:rPr>
          <w:lang w:val="en-US" w:eastAsia="ko-KR"/>
        </w:rPr>
      </w:pPr>
      <w:r>
        <w:rPr>
          <w:b/>
          <w:lang w:val="en-US" w:eastAsia="ko-KR"/>
        </w:rPr>
        <w:t>Proposal 3</w:t>
      </w:r>
      <w:r w:rsidRPr="00ED389C">
        <w:rPr>
          <w:b/>
          <w:lang w:val="en-US" w:eastAsia="ko-KR"/>
        </w:rPr>
        <w:tab/>
        <w:t xml:space="preserve">UE should be able to derive target cell’s </w:t>
      </w:r>
      <w:r w:rsidRPr="00987452">
        <w:rPr>
          <w:b/>
          <w:lang w:val="en-US" w:eastAsia="ko-KR"/>
        </w:rPr>
        <w:t>NTA</w:t>
      </w:r>
      <w:r w:rsidRPr="00ED389C">
        <w:rPr>
          <w:b/>
          <w:lang w:val="en-US" w:eastAsia="ko-KR"/>
        </w:rPr>
        <w:t xml:space="preserve"> with source cell’s </w:t>
      </w:r>
      <w:r w:rsidRPr="00987452">
        <w:rPr>
          <w:b/>
          <w:lang w:val="en-US" w:eastAsia="ko-KR"/>
        </w:rPr>
        <w:t>NTA</w:t>
      </w:r>
      <w:r w:rsidRPr="00ED389C">
        <w:rPr>
          <w:b/>
          <w:lang w:val="en-US" w:eastAsia="ko-KR"/>
        </w:rPr>
        <w:t xml:space="preserve"> and NTN-specific capability</w:t>
      </w:r>
      <w:r>
        <w:rPr>
          <w:b/>
          <w:lang w:val="en-US" w:eastAsia="ko-KR"/>
        </w:rPr>
        <w:t xml:space="preserve"> to apply RACH-less HO to NTN</w:t>
      </w:r>
      <w:r w:rsidRPr="00ED389C">
        <w:rPr>
          <w:b/>
          <w:lang w:val="en-US" w:eastAsia="ko-KR"/>
        </w:rPr>
        <w:t>.</w:t>
      </w:r>
    </w:p>
    <w:p w14:paraId="4B5D9CCC" w14:textId="77777777" w:rsidR="00B937C5" w:rsidRPr="003C79F3" w:rsidRDefault="00B937C5" w:rsidP="00B937C5">
      <w:pPr>
        <w:ind w:left="1374" w:hangingChars="700" w:hanging="1374"/>
        <w:jc w:val="both"/>
        <w:rPr>
          <w:lang w:val="en-US" w:eastAsia="ko-KR"/>
        </w:rPr>
      </w:pPr>
      <w:r w:rsidRPr="003C79F3">
        <w:rPr>
          <w:b/>
          <w:lang w:val="en-US" w:eastAsia="ko-KR"/>
        </w:rPr>
        <w:t xml:space="preserve">Proposal </w:t>
      </w:r>
      <w:r>
        <w:rPr>
          <w:b/>
          <w:lang w:val="en-US" w:eastAsia="ko-KR"/>
        </w:rPr>
        <w:t>4</w:t>
      </w:r>
      <w:r w:rsidRPr="003C79F3">
        <w:rPr>
          <w:b/>
          <w:lang w:val="en-US" w:eastAsia="ko-KR"/>
        </w:rPr>
        <w:tab/>
      </w:r>
      <w:r>
        <w:rPr>
          <w:b/>
          <w:lang w:val="en-US" w:eastAsia="ko-KR"/>
        </w:rPr>
        <w:t>Soft satellite switching is impossible for the solution with keeping</w:t>
      </w:r>
      <w:r w:rsidRPr="003C79F3">
        <w:rPr>
          <w:b/>
          <w:lang w:val="en-US" w:eastAsia="ko-KR"/>
        </w:rPr>
        <w:t xml:space="preserve"> the same PCI</w:t>
      </w:r>
      <w:r>
        <w:rPr>
          <w:b/>
          <w:lang w:val="en-US" w:eastAsia="ko-KR"/>
        </w:rPr>
        <w:t>.</w:t>
      </w:r>
    </w:p>
    <w:p w14:paraId="6338DB7A" w14:textId="77777777" w:rsidR="00005CD8" w:rsidRDefault="00005CD8" w:rsidP="00005CD8">
      <w:pPr>
        <w:ind w:left="1374" w:hangingChars="700" w:hanging="1374"/>
        <w:jc w:val="both"/>
        <w:rPr>
          <w:b/>
          <w:lang w:val="en-US" w:eastAsia="ko-KR"/>
        </w:rPr>
      </w:pPr>
      <w:r w:rsidRPr="00B937C5">
        <w:rPr>
          <w:rFonts w:hint="eastAsia"/>
          <w:b/>
          <w:lang w:val="en-US" w:eastAsia="ko-KR"/>
        </w:rPr>
        <w:t xml:space="preserve">Observation </w:t>
      </w:r>
      <w:r w:rsidRPr="00B937C5">
        <w:rPr>
          <w:b/>
          <w:lang w:val="en-US" w:eastAsia="ko-KR"/>
        </w:rPr>
        <w:t>3</w:t>
      </w:r>
      <w:r w:rsidRPr="00B937C5">
        <w:rPr>
          <w:b/>
          <w:lang w:val="en-US" w:eastAsia="ko-KR"/>
        </w:rPr>
        <w:tab/>
        <w:t xml:space="preserve">Hard satellite switching is possible for the solution. </w:t>
      </w:r>
      <w:r>
        <w:rPr>
          <w:b/>
          <w:lang w:val="en-US" w:eastAsia="ko-KR"/>
        </w:rPr>
        <w:t>However, the solution</w:t>
      </w:r>
      <w:r w:rsidRPr="00B937C5">
        <w:rPr>
          <w:b/>
          <w:lang w:val="en-US" w:eastAsia="ko-KR"/>
        </w:rPr>
        <w:t xml:space="preserve"> has marginal benefit compare to legacy HO command</w:t>
      </w:r>
      <w:r>
        <w:rPr>
          <w:b/>
          <w:lang w:val="en-US" w:eastAsia="ko-KR"/>
        </w:rPr>
        <w:t xml:space="preserve"> with delta configuration.</w:t>
      </w:r>
    </w:p>
    <w:p w14:paraId="1748CF22" w14:textId="77777777" w:rsidR="00005CD8" w:rsidRDefault="00005CD8" w:rsidP="00005CD8">
      <w:pPr>
        <w:ind w:left="1374" w:hangingChars="700" w:hanging="1374"/>
        <w:jc w:val="both"/>
        <w:rPr>
          <w:lang w:val="en-US" w:eastAsia="ko-KR"/>
        </w:rPr>
      </w:pPr>
      <w:r>
        <w:rPr>
          <w:b/>
          <w:lang w:val="en-US" w:eastAsia="ko-KR"/>
        </w:rPr>
        <w:t>Observation 4</w:t>
      </w:r>
      <w:r>
        <w:rPr>
          <w:b/>
          <w:lang w:val="en-US" w:eastAsia="ko-KR"/>
        </w:rPr>
        <w:tab/>
        <w:t>The solution only can be applied to quasi-earth fixed inter-satellite scenario with the same gNB.</w:t>
      </w:r>
    </w:p>
    <w:p w14:paraId="5F3F0FD6" w14:textId="77777777" w:rsidR="00005CD8" w:rsidRDefault="00005CD8" w:rsidP="00005CD8">
      <w:pPr>
        <w:ind w:left="1374" w:hangingChars="700" w:hanging="1374"/>
        <w:jc w:val="both"/>
        <w:rPr>
          <w:b/>
          <w:lang w:val="en-US" w:eastAsia="ko-KR"/>
        </w:rPr>
      </w:pPr>
      <w:r w:rsidRPr="00CE0469">
        <w:rPr>
          <w:rFonts w:hint="eastAsia"/>
          <w:b/>
          <w:lang w:val="en-US" w:eastAsia="ko-KR"/>
        </w:rPr>
        <w:t>Proposal 5</w:t>
      </w:r>
      <w:r w:rsidRPr="00CE0469">
        <w:rPr>
          <w:rFonts w:hint="eastAsia"/>
          <w:b/>
          <w:lang w:val="en-US" w:eastAsia="ko-KR"/>
        </w:rPr>
        <w:tab/>
      </w:r>
      <w:r w:rsidRPr="00CE0469">
        <w:rPr>
          <w:b/>
          <w:lang w:val="en-US" w:eastAsia="ko-KR"/>
        </w:rPr>
        <w:t>RAN2 deprioritize the solution with keeping the same PCI after switching of the satellites.</w:t>
      </w:r>
    </w:p>
    <w:p w14:paraId="51958173" w14:textId="77777777" w:rsidR="009215D1" w:rsidRPr="007B27B0" w:rsidRDefault="009215D1" w:rsidP="009215D1">
      <w:pPr>
        <w:ind w:left="1374" w:hangingChars="700" w:hanging="1374"/>
        <w:jc w:val="both"/>
        <w:rPr>
          <w:lang w:val="en-US" w:eastAsia="ko-KR"/>
        </w:rPr>
      </w:pPr>
      <w:r w:rsidRPr="007B27B0">
        <w:rPr>
          <w:b/>
          <w:lang w:val="en-US" w:eastAsia="ko-KR"/>
        </w:rPr>
        <w:t xml:space="preserve">Observation </w:t>
      </w:r>
      <w:r>
        <w:rPr>
          <w:b/>
          <w:lang w:val="en-US" w:eastAsia="ko-KR"/>
        </w:rPr>
        <w:t>5</w:t>
      </w:r>
      <w:r w:rsidRPr="007B27B0">
        <w:rPr>
          <w:b/>
          <w:lang w:val="en-US" w:eastAsia="ko-KR"/>
        </w:rPr>
        <w:tab/>
        <w:t xml:space="preserve">The </w:t>
      </w:r>
      <w:r>
        <w:rPr>
          <w:b/>
          <w:lang w:val="en-US" w:eastAsia="ko-KR"/>
        </w:rPr>
        <w:t>handover signal</w:t>
      </w:r>
      <w:r w:rsidRPr="007B27B0">
        <w:rPr>
          <w:b/>
          <w:lang w:val="en-US" w:eastAsia="ko-KR"/>
        </w:rPr>
        <w:t>ing can be alleviated by pre-configuring the target cell using L</w:t>
      </w:r>
      <w:r>
        <w:rPr>
          <w:b/>
          <w:lang w:val="en-US" w:eastAsia="ko-KR"/>
        </w:rPr>
        <w:t>TM</w:t>
      </w:r>
      <w:r w:rsidRPr="007B27B0">
        <w:rPr>
          <w:b/>
          <w:lang w:val="en-US" w:eastAsia="ko-KR"/>
        </w:rPr>
        <w:t>.</w:t>
      </w:r>
    </w:p>
    <w:p w14:paraId="1AACBF1D" w14:textId="77777777" w:rsidR="009215D1" w:rsidRPr="008120AF" w:rsidRDefault="009215D1" w:rsidP="009215D1">
      <w:pPr>
        <w:ind w:left="1374" w:hangingChars="700" w:hanging="1374"/>
        <w:jc w:val="both"/>
        <w:rPr>
          <w:lang w:val="en-US" w:eastAsia="ko-KR"/>
        </w:rPr>
      </w:pPr>
      <w:r>
        <w:rPr>
          <w:b/>
          <w:lang w:val="en-US" w:eastAsia="ko-KR"/>
        </w:rPr>
        <w:t>Proposal 6</w:t>
      </w:r>
      <w:r w:rsidRPr="007B27B0">
        <w:rPr>
          <w:b/>
          <w:lang w:val="en-US" w:eastAsia="ko-KR"/>
        </w:rPr>
        <w:tab/>
        <w:t>Investigate f</w:t>
      </w:r>
      <w:r>
        <w:rPr>
          <w:b/>
          <w:lang w:val="en-US" w:eastAsia="ko-KR"/>
        </w:rPr>
        <w:t>irst whether the handover signaling storm</w:t>
      </w:r>
      <w:r w:rsidRPr="007B27B0">
        <w:rPr>
          <w:b/>
          <w:lang w:val="en-US" w:eastAsia="ko-KR"/>
        </w:rPr>
        <w:t xml:space="preserve"> can be sufficiently alleviated using </w:t>
      </w:r>
      <w:r>
        <w:rPr>
          <w:b/>
          <w:lang w:val="en-US" w:eastAsia="ko-KR"/>
        </w:rPr>
        <w:t>LTM</w:t>
      </w:r>
      <w:r w:rsidRPr="007B27B0">
        <w:rPr>
          <w:b/>
          <w:lang w:val="en-US" w:eastAsia="ko-KR"/>
        </w:rPr>
        <w:t>.</w:t>
      </w:r>
    </w:p>
    <w:p w14:paraId="2827EB6C" w14:textId="045F4895" w:rsidR="00A26AF2" w:rsidRDefault="00D75919" w:rsidP="00882D3D">
      <w:pPr>
        <w:pStyle w:val="1"/>
        <w:rPr>
          <w:lang w:eastAsia="ko-KR"/>
        </w:rPr>
      </w:pPr>
      <w:r>
        <w:rPr>
          <w:rFonts w:hint="eastAsia"/>
          <w:lang w:eastAsia="ko-KR"/>
        </w:rPr>
        <w:t>4. References</w:t>
      </w:r>
    </w:p>
    <w:p w14:paraId="2D74456B" w14:textId="3B27851C" w:rsidR="00D070A7" w:rsidRDefault="00297CAE" w:rsidP="002467FC">
      <w:pPr>
        <w:rPr>
          <w:lang w:eastAsia="ko-KR"/>
        </w:rPr>
      </w:pPr>
      <w:r>
        <w:rPr>
          <w:lang w:eastAsia="ko-KR"/>
        </w:rPr>
        <w:t xml:space="preserve">[1] </w:t>
      </w:r>
      <w:r w:rsidR="001E63ED" w:rsidRPr="001E63ED">
        <w:rPr>
          <w:lang w:eastAsia="ko-KR"/>
        </w:rPr>
        <w:t>R2-2210862</w:t>
      </w:r>
      <w:r w:rsidR="001E63ED">
        <w:rPr>
          <w:lang w:eastAsia="ko-KR"/>
        </w:rPr>
        <w:t>,</w:t>
      </w:r>
      <w:r w:rsidR="001E63ED" w:rsidRPr="001E63ED">
        <w:rPr>
          <w:lang w:eastAsia="ko-KR"/>
        </w:rPr>
        <w:t xml:space="preserve"> Report from [AT119bis-e][119][NR NTN Enh] HO enhancements (Nokia)_summary</w:t>
      </w:r>
      <w:r w:rsidR="001E63ED">
        <w:rPr>
          <w:lang w:eastAsia="ko-KR"/>
        </w:rPr>
        <w:t>, Nokia.</w:t>
      </w:r>
    </w:p>
    <w:p w14:paraId="7DA4A6FA" w14:textId="352B0163" w:rsidR="002D74B1" w:rsidRPr="00D070A7" w:rsidRDefault="002D74B1" w:rsidP="002467FC">
      <w:pPr>
        <w:rPr>
          <w:lang w:eastAsia="ko-KR"/>
        </w:rPr>
      </w:pPr>
      <w:r>
        <w:rPr>
          <w:lang w:eastAsia="ko-KR"/>
        </w:rPr>
        <w:t xml:space="preserve">[2] TS 38.211, </w:t>
      </w:r>
      <w:r w:rsidRPr="002D74B1">
        <w:rPr>
          <w:lang w:eastAsia="ko-KR"/>
        </w:rPr>
        <w:t>Physical channels and modulation</w:t>
      </w:r>
      <w:r>
        <w:rPr>
          <w:lang w:eastAsia="ko-KR"/>
        </w:rPr>
        <w:t>, v17.3.0</w:t>
      </w:r>
    </w:p>
    <w:sectPr w:rsidR="002D74B1" w:rsidRPr="00D070A7" w:rsidSect="00684E1B">
      <w:footerReference w:type="even" r:id="rId8"/>
      <w:footerReference w:type="default" r:id="rId9"/>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4155B" w14:textId="77777777" w:rsidR="00B1620A" w:rsidRDefault="00B1620A">
      <w:pPr>
        <w:pStyle w:val="1"/>
      </w:pPr>
      <w:r>
        <w:separator/>
      </w:r>
    </w:p>
  </w:endnote>
  <w:endnote w:type="continuationSeparator" w:id="0">
    <w:p w14:paraId="783F34A0" w14:textId="77777777" w:rsidR="00B1620A" w:rsidRDefault="00B1620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56A5A"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50935">
      <w:rPr>
        <w:rStyle w:val="af1"/>
      </w:rPr>
      <w:t>2</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F27CF" w14:textId="77777777" w:rsidR="00B1620A" w:rsidRDefault="00B1620A">
      <w:pPr>
        <w:pStyle w:val="1"/>
      </w:pPr>
      <w:r>
        <w:separator/>
      </w:r>
    </w:p>
  </w:footnote>
  <w:footnote w:type="continuationSeparator" w:id="0">
    <w:p w14:paraId="3EEC8FDF" w14:textId="77777777" w:rsidR="00B1620A" w:rsidRDefault="00B1620A">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B0DB9"/>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D367570"/>
    <w:multiLevelType w:val="multilevel"/>
    <w:tmpl w:val="0D36757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EEF23A3"/>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3AD7D5D"/>
    <w:multiLevelType w:val="hybridMultilevel"/>
    <w:tmpl w:val="CD389C4E"/>
    <w:lvl w:ilvl="0" w:tplc="0D944C04">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463453C"/>
    <w:multiLevelType w:val="hybridMultilevel"/>
    <w:tmpl w:val="6E18F916"/>
    <w:lvl w:ilvl="0" w:tplc="02167F1A">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657074"/>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E4D02E7"/>
    <w:multiLevelType w:val="hybridMultilevel"/>
    <w:tmpl w:val="1E5C21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32785930"/>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0">
    <w:nsid w:val="3EF86219"/>
    <w:multiLevelType w:val="multilevel"/>
    <w:tmpl w:val="3EF86219"/>
    <w:lvl w:ilvl="0">
      <w:start w:val="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0385508"/>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6C23891"/>
    <w:multiLevelType w:val="hybridMultilevel"/>
    <w:tmpl w:val="437AFB80"/>
    <w:lvl w:ilvl="0" w:tplc="8C5C13FE">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nsid w:val="46C52F8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1267F1"/>
    <w:multiLevelType w:val="hybridMultilevel"/>
    <w:tmpl w:val="C248B754"/>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E6C46F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B44152C"/>
    <w:multiLevelType w:val="hybridMultilevel"/>
    <w:tmpl w:val="35B0F8D2"/>
    <w:lvl w:ilvl="0" w:tplc="15C80B2E">
      <w:start w:val="1"/>
      <w:numFmt w:val="decimal"/>
      <w:lvlText w:val="%1&gt;"/>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20">
    <w:nsid w:val="602B1A12"/>
    <w:multiLevelType w:val="hybridMultilevel"/>
    <w:tmpl w:val="BDB08308"/>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3B73170"/>
    <w:multiLevelType w:val="hybridMultilevel"/>
    <w:tmpl w:val="85160DD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nsid w:val="68957018"/>
    <w:multiLevelType w:val="hybridMultilevel"/>
    <w:tmpl w:val="B52626A8"/>
    <w:lvl w:ilvl="0" w:tplc="9E80453E">
      <w:start w:val="2"/>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nsid w:val="697C13A2"/>
    <w:multiLevelType w:val="hybridMultilevel"/>
    <w:tmpl w:val="9ED030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D1768C2"/>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43320F2"/>
    <w:multiLevelType w:val="hybridMultilevel"/>
    <w:tmpl w:val="33B6513A"/>
    <w:lvl w:ilvl="0" w:tplc="AF0E1E88">
      <w:start w:val="1"/>
      <w:numFmt w:val="decimal"/>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28">
    <w:nsid w:val="758D72F4"/>
    <w:multiLevelType w:val="hybridMultilevel"/>
    <w:tmpl w:val="7AB0277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A043CCE"/>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B694BAA"/>
    <w:multiLevelType w:val="hybridMultilevel"/>
    <w:tmpl w:val="907AFA0E"/>
    <w:lvl w:ilvl="0" w:tplc="0742F1FA">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5"/>
  </w:num>
  <w:num w:numId="4">
    <w:abstractNumId w:val="33"/>
  </w:num>
  <w:num w:numId="5">
    <w:abstractNumId w:val="16"/>
  </w:num>
  <w:num w:numId="6">
    <w:abstractNumId w:val="29"/>
  </w:num>
  <w:num w:numId="7">
    <w:abstractNumId w:val="9"/>
  </w:num>
  <w:num w:numId="8">
    <w:abstractNumId w:val="22"/>
  </w:num>
  <w:num w:numId="9">
    <w:abstractNumId w:val="26"/>
  </w:num>
  <w:num w:numId="10">
    <w:abstractNumId w:val="14"/>
  </w:num>
  <w:num w:numId="11">
    <w:abstractNumId w:val="19"/>
  </w:num>
  <w:num w:numId="12">
    <w:abstractNumId w:val="7"/>
  </w:num>
  <w:num w:numId="13">
    <w:abstractNumId w:val="11"/>
  </w:num>
  <w:num w:numId="14">
    <w:abstractNumId w:val="8"/>
  </w:num>
  <w:num w:numId="15">
    <w:abstractNumId w:val="30"/>
  </w:num>
  <w:num w:numId="16">
    <w:abstractNumId w:val="2"/>
  </w:num>
  <w:num w:numId="17">
    <w:abstractNumId w:val="10"/>
  </w:num>
  <w:num w:numId="18">
    <w:abstractNumId w:val="3"/>
  </w:num>
  <w:num w:numId="19">
    <w:abstractNumId w:val="5"/>
  </w:num>
  <w:num w:numId="20">
    <w:abstractNumId w:val="4"/>
  </w:num>
  <w:num w:numId="21">
    <w:abstractNumId w:val="0"/>
  </w:num>
  <w:num w:numId="22">
    <w:abstractNumId w:val="25"/>
  </w:num>
  <w:num w:numId="23">
    <w:abstractNumId w:val="18"/>
  </w:num>
  <w:num w:numId="24">
    <w:abstractNumId w:val="6"/>
  </w:num>
  <w:num w:numId="25">
    <w:abstractNumId w:val="27"/>
  </w:num>
  <w:num w:numId="26">
    <w:abstractNumId w:val="17"/>
  </w:num>
  <w:num w:numId="27">
    <w:abstractNumId w:val="21"/>
  </w:num>
  <w:num w:numId="28">
    <w:abstractNumId w:val="24"/>
  </w:num>
  <w:num w:numId="29">
    <w:abstractNumId w:val="20"/>
  </w:num>
  <w:num w:numId="30">
    <w:abstractNumId w:val="31"/>
  </w:num>
  <w:num w:numId="31">
    <w:abstractNumId w:val="23"/>
  </w:num>
  <w:num w:numId="32">
    <w:abstractNumId w:val="13"/>
  </w:num>
  <w:num w:numId="33">
    <w:abstractNumId w:val="32"/>
  </w:num>
  <w:num w:numId="34">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209D"/>
    <w:rsid w:val="00002BC4"/>
    <w:rsid w:val="000048E4"/>
    <w:rsid w:val="00004BE2"/>
    <w:rsid w:val="00005CD8"/>
    <w:rsid w:val="00006DDB"/>
    <w:rsid w:val="00011259"/>
    <w:rsid w:val="000143EF"/>
    <w:rsid w:val="00016D57"/>
    <w:rsid w:val="00020054"/>
    <w:rsid w:val="00021BE1"/>
    <w:rsid w:val="000251D3"/>
    <w:rsid w:val="000256B8"/>
    <w:rsid w:val="00034737"/>
    <w:rsid w:val="00034F13"/>
    <w:rsid w:val="0004094A"/>
    <w:rsid w:val="00042645"/>
    <w:rsid w:val="000436DD"/>
    <w:rsid w:val="000448EE"/>
    <w:rsid w:val="00053FB6"/>
    <w:rsid w:val="00054D20"/>
    <w:rsid w:val="000564A6"/>
    <w:rsid w:val="000566AC"/>
    <w:rsid w:val="0006174B"/>
    <w:rsid w:val="00063EE9"/>
    <w:rsid w:val="000653C0"/>
    <w:rsid w:val="000713E0"/>
    <w:rsid w:val="000846CA"/>
    <w:rsid w:val="000930EC"/>
    <w:rsid w:val="000931B5"/>
    <w:rsid w:val="00095033"/>
    <w:rsid w:val="000A1F68"/>
    <w:rsid w:val="000A23BA"/>
    <w:rsid w:val="000A5405"/>
    <w:rsid w:val="000A6528"/>
    <w:rsid w:val="000A751D"/>
    <w:rsid w:val="000B07E5"/>
    <w:rsid w:val="000B21EE"/>
    <w:rsid w:val="000B2583"/>
    <w:rsid w:val="000B2C8C"/>
    <w:rsid w:val="000B6E63"/>
    <w:rsid w:val="000C29DD"/>
    <w:rsid w:val="000D1B87"/>
    <w:rsid w:val="000D1DF7"/>
    <w:rsid w:val="000D6324"/>
    <w:rsid w:val="000E2FE4"/>
    <w:rsid w:val="000E3442"/>
    <w:rsid w:val="000E3895"/>
    <w:rsid w:val="000E4F22"/>
    <w:rsid w:val="000E5F80"/>
    <w:rsid w:val="000E6C55"/>
    <w:rsid w:val="000E7B69"/>
    <w:rsid w:val="000E7DA0"/>
    <w:rsid w:val="000E7DB5"/>
    <w:rsid w:val="000F0F11"/>
    <w:rsid w:val="000F22E9"/>
    <w:rsid w:val="0010074F"/>
    <w:rsid w:val="001017DD"/>
    <w:rsid w:val="001018C8"/>
    <w:rsid w:val="00101EA3"/>
    <w:rsid w:val="00102EC4"/>
    <w:rsid w:val="00103042"/>
    <w:rsid w:val="00103E65"/>
    <w:rsid w:val="00104965"/>
    <w:rsid w:val="001101F5"/>
    <w:rsid w:val="00110CDF"/>
    <w:rsid w:val="001129BC"/>
    <w:rsid w:val="0011623A"/>
    <w:rsid w:val="00117B48"/>
    <w:rsid w:val="001274FF"/>
    <w:rsid w:val="00132E2E"/>
    <w:rsid w:val="00133FE6"/>
    <w:rsid w:val="00134DCC"/>
    <w:rsid w:val="00136896"/>
    <w:rsid w:val="00137266"/>
    <w:rsid w:val="00140037"/>
    <w:rsid w:val="00140150"/>
    <w:rsid w:val="00144B2A"/>
    <w:rsid w:val="00146ED5"/>
    <w:rsid w:val="001474B4"/>
    <w:rsid w:val="00163BC4"/>
    <w:rsid w:val="00164FAE"/>
    <w:rsid w:val="0016623B"/>
    <w:rsid w:val="00171366"/>
    <w:rsid w:val="0017310E"/>
    <w:rsid w:val="00175D82"/>
    <w:rsid w:val="001767F9"/>
    <w:rsid w:val="00176943"/>
    <w:rsid w:val="001778CB"/>
    <w:rsid w:val="001807D0"/>
    <w:rsid w:val="00181491"/>
    <w:rsid w:val="001829E3"/>
    <w:rsid w:val="001839B7"/>
    <w:rsid w:val="001844D9"/>
    <w:rsid w:val="00184B14"/>
    <w:rsid w:val="00184D7B"/>
    <w:rsid w:val="00187307"/>
    <w:rsid w:val="00191C50"/>
    <w:rsid w:val="00191F3B"/>
    <w:rsid w:val="00195DE1"/>
    <w:rsid w:val="00197C74"/>
    <w:rsid w:val="001A4B76"/>
    <w:rsid w:val="001A7E19"/>
    <w:rsid w:val="001B1961"/>
    <w:rsid w:val="001B20FB"/>
    <w:rsid w:val="001C06EF"/>
    <w:rsid w:val="001C2E7B"/>
    <w:rsid w:val="001C3EA1"/>
    <w:rsid w:val="001D093F"/>
    <w:rsid w:val="001D479A"/>
    <w:rsid w:val="001D6421"/>
    <w:rsid w:val="001E0970"/>
    <w:rsid w:val="001E2299"/>
    <w:rsid w:val="001E266B"/>
    <w:rsid w:val="001E63ED"/>
    <w:rsid w:val="001F0D95"/>
    <w:rsid w:val="001F5D2A"/>
    <w:rsid w:val="001F769D"/>
    <w:rsid w:val="00207A6E"/>
    <w:rsid w:val="00207C61"/>
    <w:rsid w:val="0021093A"/>
    <w:rsid w:val="00213943"/>
    <w:rsid w:val="00216E7F"/>
    <w:rsid w:val="00217740"/>
    <w:rsid w:val="00224A2A"/>
    <w:rsid w:val="002259BB"/>
    <w:rsid w:val="0022794C"/>
    <w:rsid w:val="00234272"/>
    <w:rsid w:val="00244377"/>
    <w:rsid w:val="00244F84"/>
    <w:rsid w:val="002455FE"/>
    <w:rsid w:val="00245B12"/>
    <w:rsid w:val="002467FC"/>
    <w:rsid w:val="00251FB4"/>
    <w:rsid w:val="002537C2"/>
    <w:rsid w:val="002538AC"/>
    <w:rsid w:val="00253D5A"/>
    <w:rsid w:val="00260E57"/>
    <w:rsid w:val="002610FB"/>
    <w:rsid w:val="002624D4"/>
    <w:rsid w:val="002636EC"/>
    <w:rsid w:val="0026766F"/>
    <w:rsid w:val="002700A0"/>
    <w:rsid w:val="00273DB1"/>
    <w:rsid w:val="00275D27"/>
    <w:rsid w:val="00275E3B"/>
    <w:rsid w:val="00283CA5"/>
    <w:rsid w:val="00285E95"/>
    <w:rsid w:val="002867B1"/>
    <w:rsid w:val="002871EE"/>
    <w:rsid w:val="00287D58"/>
    <w:rsid w:val="002908B6"/>
    <w:rsid w:val="00290FD3"/>
    <w:rsid w:val="00291EC2"/>
    <w:rsid w:val="0029290C"/>
    <w:rsid w:val="00293496"/>
    <w:rsid w:val="00296964"/>
    <w:rsid w:val="00297CAE"/>
    <w:rsid w:val="002A33C1"/>
    <w:rsid w:val="002A7181"/>
    <w:rsid w:val="002B2BBC"/>
    <w:rsid w:val="002B70CF"/>
    <w:rsid w:val="002B71A6"/>
    <w:rsid w:val="002C0009"/>
    <w:rsid w:val="002C22CF"/>
    <w:rsid w:val="002C2E5E"/>
    <w:rsid w:val="002C60FF"/>
    <w:rsid w:val="002C7251"/>
    <w:rsid w:val="002C7E8E"/>
    <w:rsid w:val="002D1CC2"/>
    <w:rsid w:val="002D23EE"/>
    <w:rsid w:val="002D4A61"/>
    <w:rsid w:val="002D74B1"/>
    <w:rsid w:val="002E1428"/>
    <w:rsid w:val="002E1BE5"/>
    <w:rsid w:val="002E6178"/>
    <w:rsid w:val="002F298F"/>
    <w:rsid w:val="002F41C3"/>
    <w:rsid w:val="002F6719"/>
    <w:rsid w:val="002F7B14"/>
    <w:rsid w:val="00300ED9"/>
    <w:rsid w:val="00302303"/>
    <w:rsid w:val="0030295F"/>
    <w:rsid w:val="00302E15"/>
    <w:rsid w:val="00305343"/>
    <w:rsid w:val="00312345"/>
    <w:rsid w:val="003145CA"/>
    <w:rsid w:val="00314685"/>
    <w:rsid w:val="00315584"/>
    <w:rsid w:val="00321F7F"/>
    <w:rsid w:val="003263CE"/>
    <w:rsid w:val="00330BEF"/>
    <w:rsid w:val="003334D4"/>
    <w:rsid w:val="00333E4A"/>
    <w:rsid w:val="003355B2"/>
    <w:rsid w:val="003372B8"/>
    <w:rsid w:val="003416D2"/>
    <w:rsid w:val="003433E1"/>
    <w:rsid w:val="003462FE"/>
    <w:rsid w:val="003537CE"/>
    <w:rsid w:val="003545AC"/>
    <w:rsid w:val="003609DF"/>
    <w:rsid w:val="00360F96"/>
    <w:rsid w:val="00364353"/>
    <w:rsid w:val="0036654E"/>
    <w:rsid w:val="00370142"/>
    <w:rsid w:val="00371410"/>
    <w:rsid w:val="0037336D"/>
    <w:rsid w:val="00373686"/>
    <w:rsid w:val="003737FA"/>
    <w:rsid w:val="00373EF9"/>
    <w:rsid w:val="00374291"/>
    <w:rsid w:val="0038091A"/>
    <w:rsid w:val="00382B8F"/>
    <w:rsid w:val="00386E61"/>
    <w:rsid w:val="00392D95"/>
    <w:rsid w:val="00394660"/>
    <w:rsid w:val="003955C7"/>
    <w:rsid w:val="00396126"/>
    <w:rsid w:val="00397570"/>
    <w:rsid w:val="00397770"/>
    <w:rsid w:val="003A02BA"/>
    <w:rsid w:val="003A13EA"/>
    <w:rsid w:val="003A5DAF"/>
    <w:rsid w:val="003A79AA"/>
    <w:rsid w:val="003A7B42"/>
    <w:rsid w:val="003B098A"/>
    <w:rsid w:val="003B2A28"/>
    <w:rsid w:val="003C1D61"/>
    <w:rsid w:val="003C6CF8"/>
    <w:rsid w:val="003C79F3"/>
    <w:rsid w:val="003D2581"/>
    <w:rsid w:val="003D4331"/>
    <w:rsid w:val="003D5E24"/>
    <w:rsid w:val="003D6362"/>
    <w:rsid w:val="003E009C"/>
    <w:rsid w:val="003E3EFB"/>
    <w:rsid w:val="003F16D2"/>
    <w:rsid w:val="003F3426"/>
    <w:rsid w:val="003F4A37"/>
    <w:rsid w:val="003F55FD"/>
    <w:rsid w:val="003F5AC4"/>
    <w:rsid w:val="003F612D"/>
    <w:rsid w:val="00403214"/>
    <w:rsid w:val="00410B4C"/>
    <w:rsid w:val="0041269A"/>
    <w:rsid w:val="00416050"/>
    <w:rsid w:val="00416199"/>
    <w:rsid w:val="0042154A"/>
    <w:rsid w:val="00421AA3"/>
    <w:rsid w:val="004220CD"/>
    <w:rsid w:val="004221E4"/>
    <w:rsid w:val="00424D39"/>
    <w:rsid w:val="00426C63"/>
    <w:rsid w:val="00432698"/>
    <w:rsid w:val="00432CA6"/>
    <w:rsid w:val="00433F7E"/>
    <w:rsid w:val="004404D5"/>
    <w:rsid w:val="00440920"/>
    <w:rsid w:val="00441C6A"/>
    <w:rsid w:val="00444BB2"/>
    <w:rsid w:val="004464E3"/>
    <w:rsid w:val="00450F16"/>
    <w:rsid w:val="004511D0"/>
    <w:rsid w:val="00452E1E"/>
    <w:rsid w:val="00453784"/>
    <w:rsid w:val="00457BFA"/>
    <w:rsid w:val="004601A5"/>
    <w:rsid w:val="00460783"/>
    <w:rsid w:val="00460E18"/>
    <w:rsid w:val="004633B1"/>
    <w:rsid w:val="00463C25"/>
    <w:rsid w:val="00464820"/>
    <w:rsid w:val="00467183"/>
    <w:rsid w:val="00467C38"/>
    <w:rsid w:val="004763D5"/>
    <w:rsid w:val="00477630"/>
    <w:rsid w:val="0048053E"/>
    <w:rsid w:val="00481AB0"/>
    <w:rsid w:val="00483CE1"/>
    <w:rsid w:val="00483D14"/>
    <w:rsid w:val="00484EF0"/>
    <w:rsid w:val="00486FA0"/>
    <w:rsid w:val="00492F98"/>
    <w:rsid w:val="00496709"/>
    <w:rsid w:val="0049709F"/>
    <w:rsid w:val="004A3E52"/>
    <w:rsid w:val="004A4ED7"/>
    <w:rsid w:val="004A7455"/>
    <w:rsid w:val="004B096D"/>
    <w:rsid w:val="004B7915"/>
    <w:rsid w:val="004C0307"/>
    <w:rsid w:val="004C7359"/>
    <w:rsid w:val="004D1EBF"/>
    <w:rsid w:val="004D32C7"/>
    <w:rsid w:val="004D76D9"/>
    <w:rsid w:val="004E2CCF"/>
    <w:rsid w:val="004F37F5"/>
    <w:rsid w:val="004F6D36"/>
    <w:rsid w:val="004F6E85"/>
    <w:rsid w:val="004F72C2"/>
    <w:rsid w:val="004F77FF"/>
    <w:rsid w:val="00501258"/>
    <w:rsid w:val="00505C07"/>
    <w:rsid w:val="0051374F"/>
    <w:rsid w:val="00513828"/>
    <w:rsid w:val="00514C0E"/>
    <w:rsid w:val="00514EF5"/>
    <w:rsid w:val="00515CE1"/>
    <w:rsid w:val="0051632F"/>
    <w:rsid w:val="005174CF"/>
    <w:rsid w:val="005176DC"/>
    <w:rsid w:val="00525BA2"/>
    <w:rsid w:val="00525C42"/>
    <w:rsid w:val="00527004"/>
    <w:rsid w:val="0053071C"/>
    <w:rsid w:val="00534844"/>
    <w:rsid w:val="00534AFE"/>
    <w:rsid w:val="00536961"/>
    <w:rsid w:val="00541616"/>
    <w:rsid w:val="00545A14"/>
    <w:rsid w:val="005539D3"/>
    <w:rsid w:val="005546C1"/>
    <w:rsid w:val="00562741"/>
    <w:rsid w:val="00563EFC"/>
    <w:rsid w:val="00564CEC"/>
    <w:rsid w:val="00567D6D"/>
    <w:rsid w:val="00574467"/>
    <w:rsid w:val="005745F7"/>
    <w:rsid w:val="00592C34"/>
    <w:rsid w:val="0059564C"/>
    <w:rsid w:val="005B0972"/>
    <w:rsid w:val="005B3165"/>
    <w:rsid w:val="005B44D6"/>
    <w:rsid w:val="005B5040"/>
    <w:rsid w:val="005B5B4D"/>
    <w:rsid w:val="005B79B1"/>
    <w:rsid w:val="005B7CB2"/>
    <w:rsid w:val="005C3B70"/>
    <w:rsid w:val="005C6944"/>
    <w:rsid w:val="005D1A04"/>
    <w:rsid w:val="005D2C47"/>
    <w:rsid w:val="005D53C3"/>
    <w:rsid w:val="005D5423"/>
    <w:rsid w:val="005D671C"/>
    <w:rsid w:val="005D7750"/>
    <w:rsid w:val="005D793F"/>
    <w:rsid w:val="005E21C0"/>
    <w:rsid w:val="005E326E"/>
    <w:rsid w:val="005F5A1D"/>
    <w:rsid w:val="005F79F6"/>
    <w:rsid w:val="00603257"/>
    <w:rsid w:val="00604A5A"/>
    <w:rsid w:val="00604C36"/>
    <w:rsid w:val="0061089C"/>
    <w:rsid w:val="00610E21"/>
    <w:rsid w:val="00611539"/>
    <w:rsid w:val="00611F7A"/>
    <w:rsid w:val="00612C7B"/>
    <w:rsid w:val="00613498"/>
    <w:rsid w:val="00616310"/>
    <w:rsid w:val="006167D5"/>
    <w:rsid w:val="00620634"/>
    <w:rsid w:val="006234AF"/>
    <w:rsid w:val="00624F2D"/>
    <w:rsid w:val="00626987"/>
    <w:rsid w:val="006300F9"/>
    <w:rsid w:val="00630C09"/>
    <w:rsid w:val="00632E3E"/>
    <w:rsid w:val="0063387B"/>
    <w:rsid w:val="00634D51"/>
    <w:rsid w:val="0063502F"/>
    <w:rsid w:val="0063554F"/>
    <w:rsid w:val="006425E1"/>
    <w:rsid w:val="00645387"/>
    <w:rsid w:val="00647917"/>
    <w:rsid w:val="00647A50"/>
    <w:rsid w:val="00650F19"/>
    <w:rsid w:val="00657251"/>
    <w:rsid w:val="00657ADC"/>
    <w:rsid w:val="006615A5"/>
    <w:rsid w:val="00661728"/>
    <w:rsid w:val="0066391C"/>
    <w:rsid w:val="006646CD"/>
    <w:rsid w:val="00665487"/>
    <w:rsid w:val="00666001"/>
    <w:rsid w:val="0066603A"/>
    <w:rsid w:val="00671B65"/>
    <w:rsid w:val="0068043D"/>
    <w:rsid w:val="0068044F"/>
    <w:rsid w:val="00681E5A"/>
    <w:rsid w:val="00682375"/>
    <w:rsid w:val="00682C11"/>
    <w:rsid w:val="00684E1B"/>
    <w:rsid w:val="00687858"/>
    <w:rsid w:val="00693618"/>
    <w:rsid w:val="006944A1"/>
    <w:rsid w:val="006957BB"/>
    <w:rsid w:val="00695C4B"/>
    <w:rsid w:val="00696506"/>
    <w:rsid w:val="00696CC4"/>
    <w:rsid w:val="006A059D"/>
    <w:rsid w:val="006A483F"/>
    <w:rsid w:val="006B1FA9"/>
    <w:rsid w:val="006B40CC"/>
    <w:rsid w:val="006B45A6"/>
    <w:rsid w:val="006B5CF5"/>
    <w:rsid w:val="006B7C46"/>
    <w:rsid w:val="006C515A"/>
    <w:rsid w:val="006C60B5"/>
    <w:rsid w:val="006C62B9"/>
    <w:rsid w:val="006C66A4"/>
    <w:rsid w:val="006C7D94"/>
    <w:rsid w:val="006D1017"/>
    <w:rsid w:val="006D191C"/>
    <w:rsid w:val="006D3D8E"/>
    <w:rsid w:val="006D3DD6"/>
    <w:rsid w:val="006D3EB6"/>
    <w:rsid w:val="006D40D0"/>
    <w:rsid w:val="006D6A38"/>
    <w:rsid w:val="006E05CF"/>
    <w:rsid w:val="006E21C1"/>
    <w:rsid w:val="006E23D6"/>
    <w:rsid w:val="006E3116"/>
    <w:rsid w:val="006E7A16"/>
    <w:rsid w:val="006F615E"/>
    <w:rsid w:val="006F7E6A"/>
    <w:rsid w:val="00703428"/>
    <w:rsid w:val="00705ABC"/>
    <w:rsid w:val="00710418"/>
    <w:rsid w:val="0071164D"/>
    <w:rsid w:val="00713C4A"/>
    <w:rsid w:val="00713DBD"/>
    <w:rsid w:val="0071463E"/>
    <w:rsid w:val="00721C5D"/>
    <w:rsid w:val="00725D04"/>
    <w:rsid w:val="00731B83"/>
    <w:rsid w:val="00732EF6"/>
    <w:rsid w:val="0073316C"/>
    <w:rsid w:val="00733663"/>
    <w:rsid w:val="00736AE5"/>
    <w:rsid w:val="00742403"/>
    <w:rsid w:val="00745C9D"/>
    <w:rsid w:val="0074660B"/>
    <w:rsid w:val="0075147A"/>
    <w:rsid w:val="00754CFB"/>
    <w:rsid w:val="00755936"/>
    <w:rsid w:val="007575D3"/>
    <w:rsid w:val="0076355E"/>
    <w:rsid w:val="007666D7"/>
    <w:rsid w:val="00774746"/>
    <w:rsid w:val="00774884"/>
    <w:rsid w:val="00774FA7"/>
    <w:rsid w:val="007757B5"/>
    <w:rsid w:val="007758B1"/>
    <w:rsid w:val="00777D84"/>
    <w:rsid w:val="00780B1F"/>
    <w:rsid w:val="007812B8"/>
    <w:rsid w:val="00781737"/>
    <w:rsid w:val="00785B82"/>
    <w:rsid w:val="0078756C"/>
    <w:rsid w:val="007915F2"/>
    <w:rsid w:val="00794FB7"/>
    <w:rsid w:val="00796CBE"/>
    <w:rsid w:val="00797A88"/>
    <w:rsid w:val="007A2383"/>
    <w:rsid w:val="007A25BC"/>
    <w:rsid w:val="007A3732"/>
    <w:rsid w:val="007A3E54"/>
    <w:rsid w:val="007A44C7"/>
    <w:rsid w:val="007A5121"/>
    <w:rsid w:val="007A65BD"/>
    <w:rsid w:val="007A7C25"/>
    <w:rsid w:val="007B27B0"/>
    <w:rsid w:val="007B39D1"/>
    <w:rsid w:val="007B6D35"/>
    <w:rsid w:val="007B730A"/>
    <w:rsid w:val="007C156A"/>
    <w:rsid w:val="007C29B6"/>
    <w:rsid w:val="007C42BF"/>
    <w:rsid w:val="007C5EB0"/>
    <w:rsid w:val="007C6BD5"/>
    <w:rsid w:val="007C7C0A"/>
    <w:rsid w:val="007D221C"/>
    <w:rsid w:val="007D2EEA"/>
    <w:rsid w:val="007D74C9"/>
    <w:rsid w:val="007E0FE7"/>
    <w:rsid w:val="007E30A7"/>
    <w:rsid w:val="007E5A90"/>
    <w:rsid w:val="007E7C16"/>
    <w:rsid w:val="007F13CC"/>
    <w:rsid w:val="007F2214"/>
    <w:rsid w:val="007F25FC"/>
    <w:rsid w:val="007F5A53"/>
    <w:rsid w:val="007F6D11"/>
    <w:rsid w:val="007F7244"/>
    <w:rsid w:val="0080064D"/>
    <w:rsid w:val="008006A4"/>
    <w:rsid w:val="008006D0"/>
    <w:rsid w:val="00804A92"/>
    <w:rsid w:val="008059E8"/>
    <w:rsid w:val="0081089D"/>
    <w:rsid w:val="00811815"/>
    <w:rsid w:val="00811AB1"/>
    <w:rsid w:val="008120AF"/>
    <w:rsid w:val="00814DD8"/>
    <w:rsid w:val="00814DE7"/>
    <w:rsid w:val="00815EC9"/>
    <w:rsid w:val="00817510"/>
    <w:rsid w:val="00817662"/>
    <w:rsid w:val="008214D1"/>
    <w:rsid w:val="0082185A"/>
    <w:rsid w:val="00821D53"/>
    <w:rsid w:val="0082261A"/>
    <w:rsid w:val="0082460D"/>
    <w:rsid w:val="00824946"/>
    <w:rsid w:val="00826AA0"/>
    <w:rsid w:val="00830FCC"/>
    <w:rsid w:val="008360D1"/>
    <w:rsid w:val="008367FF"/>
    <w:rsid w:val="00837D1B"/>
    <w:rsid w:val="00842964"/>
    <w:rsid w:val="00850FAF"/>
    <w:rsid w:val="00852417"/>
    <w:rsid w:val="00854A9A"/>
    <w:rsid w:val="00855090"/>
    <w:rsid w:val="0085627A"/>
    <w:rsid w:val="00857A0E"/>
    <w:rsid w:val="00861781"/>
    <w:rsid w:val="00864F24"/>
    <w:rsid w:val="00872448"/>
    <w:rsid w:val="00873501"/>
    <w:rsid w:val="0087488A"/>
    <w:rsid w:val="008754D1"/>
    <w:rsid w:val="00876238"/>
    <w:rsid w:val="00877008"/>
    <w:rsid w:val="00880654"/>
    <w:rsid w:val="00882D3D"/>
    <w:rsid w:val="00885607"/>
    <w:rsid w:val="008862D4"/>
    <w:rsid w:val="008873A3"/>
    <w:rsid w:val="00887CA2"/>
    <w:rsid w:val="008903BD"/>
    <w:rsid w:val="00891116"/>
    <w:rsid w:val="00893395"/>
    <w:rsid w:val="008934C5"/>
    <w:rsid w:val="008942CD"/>
    <w:rsid w:val="00894C50"/>
    <w:rsid w:val="00895AB2"/>
    <w:rsid w:val="00896B02"/>
    <w:rsid w:val="00897E11"/>
    <w:rsid w:val="008A380B"/>
    <w:rsid w:val="008A4CFF"/>
    <w:rsid w:val="008A61C3"/>
    <w:rsid w:val="008B2E7D"/>
    <w:rsid w:val="008B3E2D"/>
    <w:rsid w:val="008B62E2"/>
    <w:rsid w:val="008B70AF"/>
    <w:rsid w:val="008C5879"/>
    <w:rsid w:val="008D1943"/>
    <w:rsid w:val="008D2A00"/>
    <w:rsid w:val="008D3128"/>
    <w:rsid w:val="008D401E"/>
    <w:rsid w:val="008D6C96"/>
    <w:rsid w:val="008D744F"/>
    <w:rsid w:val="008E310D"/>
    <w:rsid w:val="008E54E1"/>
    <w:rsid w:val="008E5641"/>
    <w:rsid w:val="008E6E2F"/>
    <w:rsid w:val="008E7963"/>
    <w:rsid w:val="008F2C95"/>
    <w:rsid w:val="008F3703"/>
    <w:rsid w:val="008F6983"/>
    <w:rsid w:val="008F77C5"/>
    <w:rsid w:val="008F7CB6"/>
    <w:rsid w:val="00904D6C"/>
    <w:rsid w:val="00905784"/>
    <w:rsid w:val="00906386"/>
    <w:rsid w:val="00907399"/>
    <w:rsid w:val="00912F96"/>
    <w:rsid w:val="00913395"/>
    <w:rsid w:val="00917FC5"/>
    <w:rsid w:val="00920940"/>
    <w:rsid w:val="0092099D"/>
    <w:rsid w:val="00921401"/>
    <w:rsid w:val="009215D1"/>
    <w:rsid w:val="00923A00"/>
    <w:rsid w:val="00926721"/>
    <w:rsid w:val="009271B9"/>
    <w:rsid w:val="00931351"/>
    <w:rsid w:val="00934A6C"/>
    <w:rsid w:val="009361AF"/>
    <w:rsid w:val="009373DC"/>
    <w:rsid w:val="00944794"/>
    <w:rsid w:val="00945167"/>
    <w:rsid w:val="00945FAF"/>
    <w:rsid w:val="00946692"/>
    <w:rsid w:val="00950935"/>
    <w:rsid w:val="009543A4"/>
    <w:rsid w:val="00954844"/>
    <w:rsid w:val="00960BAB"/>
    <w:rsid w:val="009619DA"/>
    <w:rsid w:val="00961DE5"/>
    <w:rsid w:val="009639CF"/>
    <w:rsid w:val="00963B1A"/>
    <w:rsid w:val="00964BAE"/>
    <w:rsid w:val="0096696E"/>
    <w:rsid w:val="009706B6"/>
    <w:rsid w:val="00972189"/>
    <w:rsid w:val="00973061"/>
    <w:rsid w:val="009773A6"/>
    <w:rsid w:val="00983831"/>
    <w:rsid w:val="00983BEB"/>
    <w:rsid w:val="00983ED8"/>
    <w:rsid w:val="00987452"/>
    <w:rsid w:val="00990CBD"/>
    <w:rsid w:val="00990EB6"/>
    <w:rsid w:val="00996434"/>
    <w:rsid w:val="009A01B1"/>
    <w:rsid w:val="009A0EC4"/>
    <w:rsid w:val="009A14E3"/>
    <w:rsid w:val="009A3526"/>
    <w:rsid w:val="009A4527"/>
    <w:rsid w:val="009A55AB"/>
    <w:rsid w:val="009A59C6"/>
    <w:rsid w:val="009B1A46"/>
    <w:rsid w:val="009B1BAA"/>
    <w:rsid w:val="009B33F9"/>
    <w:rsid w:val="009B3A68"/>
    <w:rsid w:val="009B428F"/>
    <w:rsid w:val="009B487F"/>
    <w:rsid w:val="009B6274"/>
    <w:rsid w:val="009C3E8C"/>
    <w:rsid w:val="009C460E"/>
    <w:rsid w:val="009C4E16"/>
    <w:rsid w:val="009C5CCB"/>
    <w:rsid w:val="009C7D1C"/>
    <w:rsid w:val="009D6DEA"/>
    <w:rsid w:val="009E2B00"/>
    <w:rsid w:val="009E48A3"/>
    <w:rsid w:val="009F0211"/>
    <w:rsid w:val="009F4351"/>
    <w:rsid w:val="009F634E"/>
    <w:rsid w:val="00A02BCB"/>
    <w:rsid w:val="00A02D42"/>
    <w:rsid w:val="00A04781"/>
    <w:rsid w:val="00A05DCD"/>
    <w:rsid w:val="00A11AB7"/>
    <w:rsid w:val="00A20D77"/>
    <w:rsid w:val="00A2521C"/>
    <w:rsid w:val="00A25433"/>
    <w:rsid w:val="00A2579E"/>
    <w:rsid w:val="00A26AF2"/>
    <w:rsid w:val="00A26B8E"/>
    <w:rsid w:val="00A27725"/>
    <w:rsid w:val="00A3180E"/>
    <w:rsid w:val="00A368F8"/>
    <w:rsid w:val="00A431F8"/>
    <w:rsid w:val="00A43B90"/>
    <w:rsid w:val="00A458CF"/>
    <w:rsid w:val="00A458E5"/>
    <w:rsid w:val="00A47E8E"/>
    <w:rsid w:val="00A50117"/>
    <w:rsid w:val="00A511F1"/>
    <w:rsid w:val="00A51257"/>
    <w:rsid w:val="00A52A56"/>
    <w:rsid w:val="00A541DC"/>
    <w:rsid w:val="00A54B5D"/>
    <w:rsid w:val="00A552E3"/>
    <w:rsid w:val="00A55314"/>
    <w:rsid w:val="00A5553E"/>
    <w:rsid w:val="00A56C06"/>
    <w:rsid w:val="00A5712D"/>
    <w:rsid w:val="00A573AE"/>
    <w:rsid w:val="00A62464"/>
    <w:rsid w:val="00A70479"/>
    <w:rsid w:val="00A70531"/>
    <w:rsid w:val="00A70FFE"/>
    <w:rsid w:val="00A73D3A"/>
    <w:rsid w:val="00A74CCC"/>
    <w:rsid w:val="00A76469"/>
    <w:rsid w:val="00A76843"/>
    <w:rsid w:val="00A774D1"/>
    <w:rsid w:val="00A81228"/>
    <w:rsid w:val="00A86CF0"/>
    <w:rsid w:val="00A87D98"/>
    <w:rsid w:val="00A902C9"/>
    <w:rsid w:val="00A920DE"/>
    <w:rsid w:val="00A94470"/>
    <w:rsid w:val="00A973F4"/>
    <w:rsid w:val="00AA087D"/>
    <w:rsid w:val="00AA1B0A"/>
    <w:rsid w:val="00AA4D4D"/>
    <w:rsid w:val="00AA5AF8"/>
    <w:rsid w:val="00AB0F43"/>
    <w:rsid w:val="00AB271A"/>
    <w:rsid w:val="00AB57D9"/>
    <w:rsid w:val="00AC135D"/>
    <w:rsid w:val="00AD0446"/>
    <w:rsid w:val="00AD3406"/>
    <w:rsid w:val="00AD3AB2"/>
    <w:rsid w:val="00AD55C3"/>
    <w:rsid w:val="00AD73EA"/>
    <w:rsid w:val="00AD748A"/>
    <w:rsid w:val="00AE1494"/>
    <w:rsid w:val="00AE43B9"/>
    <w:rsid w:val="00AE4AB2"/>
    <w:rsid w:val="00AE57A3"/>
    <w:rsid w:val="00AE5E3F"/>
    <w:rsid w:val="00AE6A3E"/>
    <w:rsid w:val="00AF0718"/>
    <w:rsid w:val="00AF1DAB"/>
    <w:rsid w:val="00AF5C49"/>
    <w:rsid w:val="00AF647C"/>
    <w:rsid w:val="00B00BF8"/>
    <w:rsid w:val="00B01C24"/>
    <w:rsid w:val="00B02523"/>
    <w:rsid w:val="00B06C07"/>
    <w:rsid w:val="00B10563"/>
    <w:rsid w:val="00B10736"/>
    <w:rsid w:val="00B15C88"/>
    <w:rsid w:val="00B1620A"/>
    <w:rsid w:val="00B16A22"/>
    <w:rsid w:val="00B16E84"/>
    <w:rsid w:val="00B20D0B"/>
    <w:rsid w:val="00B20FAB"/>
    <w:rsid w:val="00B22BA2"/>
    <w:rsid w:val="00B23B78"/>
    <w:rsid w:val="00B2536A"/>
    <w:rsid w:val="00B26D81"/>
    <w:rsid w:val="00B32474"/>
    <w:rsid w:val="00B377B9"/>
    <w:rsid w:val="00B37B2D"/>
    <w:rsid w:val="00B44BE1"/>
    <w:rsid w:val="00B44D37"/>
    <w:rsid w:val="00B503F2"/>
    <w:rsid w:val="00B50A7A"/>
    <w:rsid w:val="00B51378"/>
    <w:rsid w:val="00B51676"/>
    <w:rsid w:val="00B51BD9"/>
    <w:rsid w:val="00B566D2"/>
    <w:rsid w:val="00B644F2"/>
    <w:rsid w:val="00B655B4"/>
    <w:rsid w:val="00B65D4D"/>
    <w:rsid w:val="00B72544"/>
    <w:rsid w:val="00B728B6"/>
    <w:rsid w:val="00B7362E"/>
    <w:rsid w:val="00B74063"/>
    <w:rsid w:val="00B74E42"/>
    <w:rsid w:val="00B76B57"/>
    <w:rsid w:val="00B7702C"/>
    <w:rsid w:val="00B77CE3"/>
    <w:rsid w:val="00B85B2B"/>
    <w:rsid w:val="00B85B39"/>
    <w:rsid w:val="00B86050"/>
    <w:rsid w:val="00B90738"/>
    <w:rsid w:val="00B91662"/>
    <w:rsid w:val="00B935F4"/>
    <w:rsid w:val="00B937C5"/>
    <w:rsid w:val="00B95E31"/>
    <w:rsid w:val="00BA4EFE"/>
    <w:rsid w:val="00BA5717"/>
    <w:rsid w:val="00BA68C8"/>
    <w:rsid w:val="00BB6186"/>
    <w:rsid w:val="00BC0C59"/>
    <w:rsid w:val="00BC4629"/>
    <w:rsid w:val="00BD0BDA"/>
    <w:rsid w:val="00BD38F3"/>
    <w:rsid w:val="00BD6951"/>
    <w:rsid w:val="00BE021B"/>
    <w:rsid w:val="00BE14BC"/>
    <w:rsid w:val="00BE1D4A"/>
    <w:rsid w:val="00BE405B"/>
    <w:rsid w:val="00BE501B"/>
    <w:rsid w:val="00BE5FDD"/>
    <w:rsid w:val="00BF04AE"/>
    <w:rsid w:val="00BF2F0C"/>
    <w:rsid w:val="00BF42D0"/>
    <w:rsid w:val="00BF5DDD"/>
    <w:rsid w:val="00C03A1A"/>
    <w:rsid w:val="00C05581"/>
    <w:rsid w:val="00C077C5"/>
    <w:rsid w:val="00C10E35"/>
    <w:rsid w:val="00C148DF"/>
    <w:rsid w:val="00C16836"/>
    <w:rsid w:val="00C200FB"/>
    <w:rsid w:val="00C23690"/>
    <w:rsid w:val="00C26534"/>
    <w:rsid w:val="00C3126D"/>
    <w:rsid w:val="00C32F94"/>
    <w:rsid w:val="00C33913"/>
    <w:rsid w:val="00C37C9E"/>
    <w:rsid w:val="00C40636"/>
    <w:rsid w:val="00C41CE8"/>
    <w:rsid w:val="00C41E8F"/>
    <w:rsid w:val="00C42315"/>
    <w:rsid w:val="00C42EDF"/>
    <w:rsid w:val="00C463D2"/>
    <w:rsid w:val="00C50075"/>
    <w:rsid w:val="00C50E28"/>
    <w:rsid w:val="00C511EB"/>
    <w:rsid w:val="00C57171"/>
    <w:rsid w:val="00C62C06"/>
    <w:rsid w:val="00C6471E"/>
    <w:rsid w:val="00C659F3"/>
    <w:rsid w:val="00C6688C"/>
    <w:rsid w:val="00C73AA9"/>
    <w:rsid w:val="00C746BA"/>
    <w:rsid w:val="00C774CC"/>
    <w:rsid w:val="00C8106E"/>
    <w:rsid w:val="00C8162C"/>
    <w:rsid w:val="00C84737"/>
    <w:rsid w:val="00C850D5"/>
    <w:rsid w:val="00C93710"/>
    <w:rsid w:val="00C94C09"/>
    <w:rsid w:val="00C95B22"/>
    <w:rsid w:val="00C96668"/>
    <w:rsid w:val="00C96ECF"/>
    <w:rsid w:val="00C97C5F"/>
    <w:rsid w:val="00CA31B0"/>
    <w:rsid w:val="00CA7051"/>
    <w:rsid w:val="00CA719D"/>
    <w:rsid w:val="00CB0E68"/>
    <w:rsid w:val="00CB39E9"/>
    <w:rsid w:val="00CB59E4"/>
    <w:rsid w:val="00CB5B1F"/>
    <w:rsid w:val="00CB6EF8"/>
    <w:rsid w:val="00CC040C"/>
    <w:rsid w:val="00CC3A97"/>
    <w:rsid w:val="00CC5AD3"/>
    <w:rsid w:val="00CC6BE3"/>
    <w:rsid w:val="00CC6FBE"/>
    <w:rsid w:val="00CC70E6"/>
    <w:rsid w:val="00CC7EB1"/>
    <w:rsid w:val="00CD3501"/>
    <w:rsid w:val="00CD4E5F"/>
    <w:rsid w:val="00CD6514"/>
    <w:rsid w:val="00CD703F"/>
    <w:rsid w:val="00CE0469"/>
    <w:rsid w:val="00CE19A1"/>
    <w:rsid w:val="00CE2E77"/>
    <w:rsid w:val="00CE34BD"/>
    <w:rsid w:val="00CE4798"/>
    <w:rsid w:val="00CE50E6"/>
    <w:rsid w:val="00CE5F24"/>
    <w:rsid w:val="00CF122A"/>
    <w:rsid w:val="00CF1DAE"/>
    <w:rsid w:val="00CF209E"/>
    <w:rsid w:val="00CF3A80"/>
    <w:rsid w:val="00CF560D"/>
    <w:rsid w:val="00CF57EB"/>
    <w:rsid w:val="00D00C0F"/>
    <w:rsid w:val="00D02215"/>
    <w:rsid w:val="00D036C3"/>
    <w:rsid w:val="00D05067"/>
    <w:rsid w:val="00D05495"/>
    <w:rsid w:val="00D070A7"/>
    <w:rsid w:val="00D10C1E"/>
    <w:rsid w:val="00D132D3"/>
    <w:rsid w:val="00D15EC5"/>
    <w:rsid w:val="00D1619A"/>
    <w:rsid w:val="00D20DBA"/>
    <w:rsid w:val="00D247A2"/>
    <w:rsid w:val="00D26196"/>
    <w:rsid w:val="00D27AB1"/>
    <w:rsid w:val="00D33FF6"/>
    <w:rsid w:val="00D36077"/>
    <w:rsid w:val="00D41BEB"/>
    <w:rsid w:val="00D4259F"/>
    <w:rsid w:val="00D43809"/>
    <w:rsid w:val="00D44700"/>
    <w:rsid w:val="00D44AB6"/>
    <w:rsid w:val="00D45321"/>
    <w:rsid w:val="00D45B3B"/>
    <w:rsid w:val="00D51148"/>
    <w:rsid w:val="00D517F7"/>
    <w:rsid w:val="00D533A0"/>
    <w:rsid w:val="00D60637"/>
    <w:rsid w:val="00D61434"/>
    <w:rsid w:val="00D62C63"/>
    <w:rsid w:val="00D6591D"/>
    <w:rsid w:val="00D70076"/>
    <w:rsid w:val="00D71726"/>
    <w:rsid w:val="00D75919"/>
    <w:rsid w:val="00D8033C"/>
    <w:rsid w:val="00D84DB4"/>
    <w:rsid w:val="00D86873"/>
    <w:rsid w:val="00D915E7"/>
    <w:rsid w:val="00D91D1D"/>
    <w:rsid w:val="00D939C7"/>
    <w:rsid w:val="00DB27BA"/>
    <w:rsid w:val="00DB4F81"/>
    <w:rsid w:val="00DB4F84"/>
    <w:rsid w:val="00DC0E99"/>
    <w:rsid w:val="00DC5776"/>
    <w:rsid w:val="00DC720E"/>
    <w:rsid w:val="00DC733A"/>
    <w:rsid w:val="00DC7AEC"/>
    <w:rsid w:val="00DD3A27"/>
    <w:rsid w:val="00DD5FDB"/>
    <w:rsid w:val="00DD68A7"/>
    <w:rsid w:val="00DD6B8A"/>
    <w:rsid w:val="00DE0DC5"/>
    <w:rsid w:val="00DE1845"/>
    <w:rsid w:val="00DE2F73"/>
    <w:rsid w:val="00DE371D"/>
    <w:rsid w:val="00DE578F"/>
    <w:rsid w:val="00DE6971"/>
    <w:rsid w:val="00DF5284"/>
    <w:rsid w:val="00E01468"/>
    <w:rsid w:val="00E02B55"/>
    <w:rsid w:val="00E033C5"/>
    <w:rsid w:val="00E0591F"/>
    <w:rsid w:val="00E125C3"/>
    <w:rsid w:val="00E12EB9"/>
    <w:rsid w:val="00E142EE"/>
    <w:rsid w:val="00E1436A"/>
    <w:rsid w:val="00E15D83"/>
    <w:rsid w:val="00E1690E"/>
    <w:rsid w:val="00E20CC2"/>
    <w:rsid w:val="00E22045"/>
    <w:rsid w:val="00E22AFC"/>
    <w:rsid w:val="00E26AC0"/>
    <w:rsid w:val="00E31FED"/>
    <w:rsid w:val="00E321B3"/>
    <w:rsid w:val="00E32EA4"/>
    <w:rsid w:val="00E33EF8"/>
    <w:rsid w:val="00E35889"/>
    <w:rsid w:val="00E359BC"/>
    <w:rsid w:val="00E366B8"/>
    <w:rsid w:val="00E41DE1"/>
    <w:rsid w:val="00E43CF0"/>
    <w:rsid w:val="00E46679"/>
    <w:rsid w:val="00E467F2"/>
    <w:rsid w:val="00E47953"/>
    <w:rsid w:val="00E5003F"/>
    <w:rsid w:val="00E57B3F"/>
    <w:rsid w:val="00E6011D"/>
    <w:rsid w:val="00E65931"/>
    <w:rsid w:val="00E6594B"/>
    <w:rsid w:val="00E66E4A"/>
    <w:rsid w:val="00E67175"/>
    <w:rsid w:val="00E672A8"/>
    <w:rsid w:val="00E750ED"/>
    <w:rsid w:val="00E76159"/>
    <w:rsid w:val="00E80814"/>
    <w:rsid w:val="00E8103B"/>
    <w:rsid w:val="00E814E3"/>
    <w:rsid w:val="00E8175B"/>
    <w:rsid w:val="00E8227B"/>
    <w:rsid w:val="00E87CD7"/>
    <w:rsid w:val="00E91835"/>
    <w:rsid w:val="00E92616"/>
    <w:rsid w:val="00E9375E"/>
    <w:rsid w:val="00E938C8"/>
    <w:rsid w:val="00E9410B"/>
    <w:rsid w:val="00E945F8"/>
    <w:rsid w:val="00E94ED4"/>
    <w:rsid w:val="00EA0B31"/>
    <w:rsid w:val="00EA15BF"/>
    <w:rsid w:val="00EA15F6"/>
    <w:rsid w:val="00EA1A02"/>
    <w:rsid w:val="00EB19F7"/>
    <w:rsid w:val="00EB32F4"/>
    <w:rsid w:val="00EB3DF1"/>
    <w:rsid w:val="00EB559C"/>
    <w:rsid w:val="00EC0100"/>
    <w:rsid w:val="00EC33D2"/>
    <w:rsid w:val="00EC3E6D"/>
    <w:rsid w:val="00EC686A"/>
    <w:rsid w:val="00ED3648"/>
    <w:rsid w:val="00ED389C"/>
    <w:rsid w:val="00EE60FE"/>
    <w:rsid w:val="00EE6A59"/>
    <w:rsid w:val="00EF0C06"/>
    <w:rsid w:val="00EF3960"/>
    <w:rsid w:val="00F05468"/>
    <w:rsid w:val="00F11BAB"/>
    <w:rsid w:val="00F126CF"/>
    <w:rsid w:val="00F12D13"/>
    <w:rsid w:val="00F1591E"/>
    <w:rsid w:val="00F1732E"/>
    <w:rsid w:val="00F17576"/>
    <w:rsid w:val="00F247EC"/>
    <w:rsid w:val="00F25AD9"/>
    <w:rsid w:val="00F25F47"/>
    <w:rsid w:val="00F26412"/>
    <w:rsid w:val="00F30D93"/>
    <w:rsid w:val="00F34B3A"/>
    <w:rsid w:val="00F358CB"/>
    <w:rsid w:val="00F37282"/>
    <w:rsid w:val="00F37E6C"/>
    <w:rsid w:val="00F438CC"/>
    <w:rsid w:val="00F45031"/>
    <w:rsid w:val="00F479CE"/>
    <w:rsid w:val="00F47CA8"/>
    <w:rsid w:val="00F5055E"/>
    <w:rsid w:val="00F54A6E"/>
    <w:rsid w:val="00F56D84"/>
    <w:rsid w:val="00F6168D"/>
    <w:rsid w:val="00F63AEA"/>
    <w:rsid w:val="00F6436F"/>
    <w:rsid w:val="00F66802"/>
    <w:rsid w:val="00F668C0"/>
    <w:rsid w:val="00F71068"/>
    <w:rsid w:val="00F715B1"/>
    <w:rsid w:val="00F71F54"/>
    <w:rsid w:val="00F7387C"/>
    <w:rsid w:val="00F74EAC"/>
    <w:rsid w:val="00F8196E"/>
    <w:rsid w:val="00F819BE"/>
    <w:rsid w:val="00F83A0C"/>
    <w:rsid w:val="00F85850"/>
    <w:rsid w:val="00F87ADC"/>
    <w:rsid w:val="00F92534"/>
    <w:rsid w:val="00F978D6"/>
    <w:rsid w:val="00FA0A33"/>
    <w:rsid w:val="00FA1C47"/>
    <w:rsid w:val="00FA33FA"/>
    <w:rsid w:val="00FA348B"/>
    <w:rsid w:val="00FA6F1B"/>
    <w:rsid w:val="00FB014F"/>
    <w:rsid w:val="00FB4238"/>
    <w:rsid w:val="00FB53E7"/>
    <w:rsid w:val="00FB7ADD"/>
    <w:rsid w:val="00FC3A97"/>
    <w:rsid w:val="00FD192F"/>
    <w:rsid w:val="00FD1962"/>
    <w:rsid w:val="00FD1DB9"/>
    <w:rsid w:val="00FD3481"/>
    <w:rsid w:val="00FD34B7"/>
    <w:rsid w:val="00FD6AD1"/>
    <w:rsid w:val="00FD6EED"/>
    <w:rsid w:val="00FD7598"/>
    <w:rsid w:val="00FF0C39"/>
    <w:rsid w:val="00FF16D0"/>
    <w:rsid w:val="00FF26A9"/>
    <w:rsid w:val="00FF5419"/>
    <w:rsid w:val="00FF6420"/>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B551A9C"/>
  <w15:chartTrackingRefBased/>
  <w15:docId w15:val="{4BC2C68A-EB3E-4D9E-888D-B4F81E68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c"/>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9"/>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 w:type="paragraph" w:customStyle="1" w:styleId="43">
    <w:name w:val="标题4"/>
    <w:basedOn w:val="a"/>
    <w:rsid w:val="00C41E8F"/>
    <w:pPr>
      <w:tabs>
        <w:tab w:val="left" w:pos="425"/>
        <w:tab w:val="num" w:pos="992"/>
      </w:tabs>
      <w:ind w:left="992" w:hanging="425"/>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296831093">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114850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74898025">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04151370">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574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57044A4F-74A1-49AE-B707-AEE77A62E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1884</TotalTime>
  <Pages>3</Pages>
  <Words>1128</Words>
  <Characters>6430</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 (Han Cha)</cp:lastModifiedBy>
  <cp:revision>55</cp:revision>
  <cp:lastPrinted>2014-08-09T03:01:00Z</cp:lastPrinted>
  <dcterms:created xsi:type="dcterms:W3CDTF">2022-09-14T07:23:00Z</dcterms:created>
  <dcterms:modified xsi:type="dcterms:W3CDTF">2022-11-04T07:46:00Z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